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宋体" w:hAnsi="宋体"/>
          <w:b/>
          <w:sz w:val="40"/>
        </w:rPr>
      </w:pPr>
      <w:r>
        <w:rPr>
          <w:rFonts w:hint="eastAsia" w:ascii="宋体" w:hAnsi="宋体"/>
          <w:b/>
          <w:sz w:val="40"/>
        </w:rPr>
        <w:t xml:space="preserve"> 采购需求</w:t>
      </w:r>
    </w:p>
    <w:p>
      <w:pPr>
        <w:pStyle w:val="6"/>
        <w:ind w:firstLine="470" w:firstLineChars="196"/>
        <w:rPr>
          <w:rFonts w:hint="eastAsia" w:ascii="宋体" w:hAnsi="宋体"/>
          <w:sz w:val="24"/>
        </w:rPr>
      </w:pPr>
      <w:bookmarkStart w:id="1" w:name="_GoBack"/>
      <w:bookmarkEnd w:id="1"/>
    </w:p>
    <w:p>
      <w:pPr>
        <w:pStyle w:val="6"/>
        <w:ind w:firstLine="470" w:firstLineChars="196"/>
        <w:rPr>
          <w:rFonts w:ascii="宋体" w:hAnsi="宋体"/>
          <w:sz w:val="24"/>
          <w:szCs w:val="24"/>
        </w:rPr>
      </w:pPr>
      <w:r>
        <w:rPr>
          <w:rFonts w:hint="eastAsia" w:ascii="宋体" w:hAnsi="宋体"/>
          <w:sz w:val="24"/>
        </w:rPr>
        <w:t>注：</w:t>
      </w:r>
      <w:r>
        <w:rPr>
          <w:rFonts w:hint="eastAsia" w:ascii="宋体" w:hAnsi="宋体"/>
          <w:sz w:val="24"/>
          <w:szCs w:val="24"/>
        </w:rPr>
        <w:t>1. 以下《采购需求说明》及《采购需求一览表》所列内容为采购人所提采购需求，供应商应认真仔细研究，投标时应响应服务要求、服务质量等进行投标。</w:t>
      </w:r>
    </w:p>
    <w:p>
      <w:pPr>
        <w:pStyle w:val="6"/>
        <w:ind w:firstLine="470" w:firstLineChars="196"/>
        <w:rPr>
          <w:rFonts w:ascii="宋体" w:hAnsi="宋体"/>
          <w:sz w:val="24"/>
          <w:szCs w:val="24"/>
        </w:rPr>
      </w:pPr>
      <w:r>
        <w:rPr>
          <w:rFonts w:hint="eastAsia" w:ascii="宋体" w:hAnsi="宋体"/>
          <w:sz w:val="24"/>
          <w:szCs w:val="24"/>
        </w:rPr>
        <w:t>2.标有“*”的参数为实质性参数，必须满足，否则其投标无效。</w:t>
      </w:r>
    </w:p>
    <w:p>
      <w:pPr>
        <w:pStyle w:val="6"/>
        <w:ind w:firstLine="470" w:firstLineChars="196"/>
        <w:rPr>
          <w:rFonts w:ascii="宋体" w:hAnsi="宋体"/>
          <w:sz w:val="24"/>
          <w:szCs w:val="24"/>
        </w:rPr>
      </w:pPr>
      <w:r>
        <w:rPr>
          <w:rFonts w:hint="eastAsia" w:ascii="宋体" w:hAnsi="宋体"/>
          <w:sz w:val="24"/>
          <w:szCs w:val="24"/>
        </w:rPr>
        <w:t>3.本项目招标文件第七章 “投标文件格式”中内容应根据项目需要和评标办法规定填写；如不需要，则填写无。</w:t>
      </w:r>
    </w:p>
    <w:p>
      <w:pPr>
        <w:pStyle w:val="6"/>
        <w:ind w:firstLine="470" w:firstLineChars="196"/>
        <w:rPr>
          <w:rFonts w:ascii="宋体" w:hAnsi="宋体"/>
          <w:sz w:val="24"/>
          <w:szCs w:val="24"/>
        </w:rPr>
      </w:pPr>
      <w:r>
        <w:rPr>
          <w:rFonts w:hint="eastAsia" w:ascii="宋体" w:hAnsi="宋体"/>
          <w:sz w:val="24"/>
          <w:szCs w:val="24"/>
        </w:rPr>
        <w:t>4.中标供应商和采购人签订的合同应与招标文件中的采购合同一致，不得另行签订与采购合同相背离的其他合同。</w:t>
      </w:r>
    </w:p>
    <w:p>
      <w:pPr>
        <w:pStyle w:val="6"/>
        <w:ind w:firstLine="470" w:firstLineChars="196"/>
        <w:rPr>
          <w:rFonts w:ascii="宋体" w:hAnsi="宋体"/>
          <w:sz w:val="24"/>
          <w:szCs w:val="24"/>
        </w:rPr>
      </w:pPr>
      <w:r>
        <w:rPr>
          <w:rFonts w:hint="eastAsia" w:ascii="宋体" w:hAnsi="宋体"/>
          <w:sz w:val="24"/>
          <w:szCs w:val="24"/>
        </w:rPr>
        <w:t>5.下列《采购需求一览表》中标注“▲”的服务，投标供应商在投标文件《主要中标标的承诺函》中填写名称、服务要求简述、数量、单价等信息该承诺函经评标委员会评审认可后随评审结果一并公示，如投标文件中未提供、提供不全将可能导致投标无效。</w:t>
      </w:r>
      <w:bookmarkStart w:id="0" w:name="_Hlk33586079"/>
      <w:r>
        <w:rPr>
          <w:rFonts w:hint="eastAsia" w:ascii="宋体" w:hAnsi="宋体"/>
          <w:sz w:val="24"/>
          <w:szCs w:val="24"/>
        </w:rPr>
        <w:t>采购人（代理机构）在编制招标文件时必须将采购的主要产品(包括核心服务)标注“▲”。</w:t>
      </w:r>
      <w:bookmarkEnd w:id="0"/>
    </w:p>
    <w:p>
      <w:pPr>
        <w:pStyle w:val="6"/>
        <w:ind w:firstLine="480" w:firstLineChars="200"/>
        <w:rPr>
          <w:rFonts w:ascii="宋体" w:hAnsi="宋体"/>
          <w:sz w:val="24"/>
          <w:szCs w:val="24"/>
        </w:rPr>
      </w:pPr>
      <w:r>
        <w:rPr>
          <w:rFonts w:hint="eastAsia" w:ascii="宋体" w:hAnsi="宋体"/>
          <w:sz w:val="24"/>
          <w:szCs w:val="24"/>
        </w:rPr>
        <w:t>6、采购人、采购代理机构应当依据国务院批准的中小企业划分标准，根据采购项目具体情况，在采购文件中明确采购标的对应的中小企业划分标准所属行业。如果一个采购项目涉及多个采购标的的，应当在采购文件中逐一明确所有采购标的对应的中小企业划分标准所属行业。供应商根据采购文件中明确的行业所对应的划分标准，判断是否属于中小企业。现行中小企业划分标准行业包括农、林、牧、渔业，工业，建筑业，批发业，零售业，交通运输业，仓储业，邮政业，住宿业，餐饮业，信息传输业，软件和信息技术服务业，房地产开发经营，物业管理，租赁和商业服务业和其他未列明行业等十六类。（如下图所示）</w:t>
      </w:r>
    </w:p>
    <w:p>
      <w:pPr>
        <w:pStyle w:val="6"/>
        <w:ind w:firstLine="240" w:firstLineChars="100"/>
        <w:rPr>
          <w:rFonts w:ascii="宋体" w:hAnsi="宋体"/>
          <w:sz w:val="24"/>
          <w:szCs w:val="24"/>
        </w:rPr>
      </w:pPr>
      <w:r>
        <w:rPr>
          <w:rFonts w:hint="eastAsia" w:ascii="宋体" w:hAnsi="宋体"/>
          <w:sz w:val="24"/>
          <w:szCs w:val="24"/>
        </w:rPr>
        <w:t>7、采购人（代理机构）在编制招标文件时必须将采购标的性质（采购货物或采购服务）予以明确。</w:t>
      </w:r>
    </w:p>
    <w:p>
      <w:pPr>
        <w:ind w:firstLine="480" w:firstLineChars="200"/>
        <w:rPr>
          <w:rFonts w:ascii="宋体" w:hAnsi="宋体"/>
          <w:sz w:val="24"/>
        </w:rPr>
      </w:pPr>
      <w:r>
        <w:rPr>
          <w:rFonts w:hint="eastAsia" w:ascii="宋体" w:hAnsi="宋体"/>
          <w:sz w:val="24"/>
        </w:rPr>
        <w:t>注：目前招投标系统无法进行远程二次报价功能，须投标供应商到达开标现场，进行现场二次报价。</w:t>
      </w:r>
    </w:p>
    <w:p>
      <w:pPr>
        <w:pStyle w:val="6"/>
        <w:ind w:firstLine="480" w:firstLineChars="200"/>
        <w:rPr>
          <w:rFonts w:ascii="宋体" w:hAnsi="宋体"/>
          <w:sz w:val="24"/>
          <w:szCs w:val="24"/>
        </w:rPr>
      </w:pPr>
    </w:p>
    <w:p>
      <w:pPr>
        <w:pStyle w:val="6"/>
        <w:jc w:val="center"/>
        <w:rPr>
          <w:rFonts w:ascii="宋体" w:hAnsi="宋体"/>
          <w:sz w:val="24"/>
          <w:szCs w:val="24"/>
        </w:rPr>
      </w:pPr>
    </w:p>
    <w:p>
      <w:pPr>
        <w:pStyle w:val="6"/>
        <w:rPr>
          <w:rFonts w:ascii="宋体" w:hAnsi="宋体"/>
          <w:sz w:val="24"/>
          <w:szCs w:val="24"/>
        </w:rPr>
      </w:pPr>
      <w:r>
        <w:rPr>
          <w:rFonts w:hint="eastAsia" w:ascii="宋体" w:hAnsi="宋体"/>
          <w:sz w:val="24"/>
          <w:szCs w:val="24"/>
        </w:rPr>
        <w:t>中小企业划分标准：</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1"/>
        <w:gridCol w:w="1104"/>
        <w:gridCol w:w="1097"/>
        <w:gridCol w:w="1295"/>
        <w:gridCol w:w="1561"/>
        <w:gridCol w:w="1389"/>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widowControl/>
              <w:spacing w:after="113" w:line="180" w:lineRule="atLeast"/>
              <w:rPr>
                <w:rFonts w:ascii="宋体" w:hAnsi="宋体"/>
                <w:sz w:val="18"/>
                <w:szCs w:val="18"/>
              </w:rPr>
            </w:pPr>
            <w:r>
              <w:rPr>
                <w:rFonts w:hint="eastAsia" w:ascii="宋体" w:hAnsi="宋体"/>
                <w:sz w:val="18"/>
                <w:szCs w:val="18"/>
              </w:rPr>
              <w:t>行业名称</w:t>
            </w:r>
          </w:p>
        </w:tc>
        <w:tc>
          <w:tcPr>
            <w:tcW w:w="1104" w:type="dxa"/>
            <w:noWrap w:val="0"/>
            <w:vAlign w:val="center"/>
          </w:tcPr>
          <w:p>
            <w:pPr>
              <w:widowControl/>
              <w:spacing w:after="113" w:line="180" w:lineRule="atLeast"/>
              <w:rPr>
                <w:rFonts w:ascii="宋体" w:hAnsi="宋体"/>
                <w:sz w:val="18"/>
                <w:szCs w:val="18"/>
              </w:rPr>
            </w:pPr>
            <w:r>
              <w:rPr>
                <w:rFonts w:hint="eastAsia" w:ascii="宋体" w:hAnsi="宋体"/>
                <w:sz w:val="18"/>
                <w:szCs w:val="18"/>
              </w:rPr>
              <w:t>指标名称</w:t>
            </w:r>
          </w:p>
        </w:tc>
        <w:tc>
          <w:tcPr>
            <w:tcW w:w="1097" w:type="dxa"/>
            <w:noWrap w:val="0"/>
            <w:vAlign w:val="center"/>
          </w:tcPr>
          <w:p>
            <w:pPr>
              <w:widowControl/>
              <w:spacing w:after="113" w:line="180" w:lineRule="atLeast"/>
              <w:rPr>
                <w:rFonts w:ascii="宋体" w:hAnsi="宋体"/>
                <w:sz w:val="18"/>
                <w:szCs w:val="18"/>
              </w:rPr>
            </w:pPr>
            <w:r>
              <w:rPr>
                <w:rFonts w:hint="eastAsia" w:ascii="宋体" w:hAnsi="宋体"/>
                <w:sz w:val="18"/>
                <w:szCs w:val="18"/>
              </w:rPr>
              <w:t>计量单位</w:t>
            </w:r>
          </w:p>
        </w:tc>
        <w:tc>
          <w:tcPr>
            <w:tcW w:w="1295" w:type="dxa"/>
            <w:noWrap w:val="0"/>
            <w:vAlign w:val="center"/>
          </w:tcPr>
          <w:p>
            <w:pPr>
              <w:widowControl/>
              <w:spacing w:after="113" w:line="180" w:lineRule="atLeast"/>
              <w:ind w:firstLine="420"/>
              <w:rPr>
                <w:rFonts w:ascii="宋体" w:hAnsi="宋体"/>
                <w:sz w:val="18"/>
                <w:szCs w:val="18"/>
              </w:rPr>
            </w:pPr>
            <w:r>
              <w:rPr>
                <w:rFonts w:hint="eastAsia" w:ascii="宋体" w:hAnsi="宋体"/>
                <w:sz w:val="18"/>
                <w:szCs w:val="18"/>
              </w:rPr>
              <w:t>大型</w:t>
            </w:r>
          </w:p>
        </w:tc>
        <w:tc>
          <w:tcPr>
            <w:tcW w:w="1561" w:type="dxa"/>
            <w:noWrap w:val="0"/>
            <w:vAlign w:val="center"/>
          </w:tcPr>
          <w:p>
            <w:pPr>
              <w:widowControl/>
              <w:spacing w:after="113" w:line="180" w:lineRule="atLeast"/>
              <w:ind w:firstLine="420"/>
              <w:rPr>
                <w:rFonts w:ascii="宋体" w:hAnsi="宋体"/>
                <w:sz w:val="18"/>
                <w:szCs w:val="18"/>
              </w:rPr>
            </w:pPr>
            <w:r>
              <w:rPr>
                <w:rFonts w:hint="eastAsia" w:ascii="宋体" w:hAnsi="宋体"/>
                <w:sz w:val="18"/>
                <w:szCs w:val="18"/>
              </w:rPr>
              <w:t>中型</w:t>
            </w:r>
          </w:p>
        </w:tc>
        <w:tc>
          <w:tcPr>
            <w:tcW w:w="1389" w:type="dxa"/>
            <w:noWrap w:val="0"/>
            <w:vAlign w:val="center"/>
          </w:tcPr>
          <w:p>
            <w:pPr>
              <w:widowControl/>
              <w:spacing w:after="113" w:line="180" w:lineRule="atLeast"/>
              <w:ind w:firstLine="420"/>
              <w:rPr>
                <w:rFonts w:ascii="宋体" w:hAnsi="宋体"/>
                <w:sz w:val="18"/>
                <w:szCs w:val="18"/>
              </w:rPr>
            </w:pPr>
            <w:r>
              <w:rPr>
                <w:rFonts w:hint="eastAsia" w:ascii="宋体" w:hAnsi="宋体"/>
                <w:sz w:val="18"/>
                <w:szCs w:val="18"/>
              </w:rPr>
              <w:t>小型</w:t>
            </w:r>
          </w:p>
        </w:tc>
        <w:tc>
          <w:tcPr>
            <w:tcW w:w="965" w:type="dxa"/>
            <w:noWrap w:val="0"/>
            <w:vAlign w:val="center"/>
          </w:tcPr>
          <w:p>
            <w:pPr>
              <w:widowControl/>
              <w:spacing w:after="113" w:line="180" w:lineRule="atLeast"/>
              <w:rPr>
                <w:rFonts w:ascii="宋体" w:hAnsi="宋体"/>
                <w:sz w:val="18"/>
                <w:szCs w:val="18"/>
              </w:rPr>
            </w:pPr>
            <w:r>
              <w:rPr>
                <w:rFonts w:hint="eastAsia" w:ascii="宋体" w:hAnsi="宋体"/>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1"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农、林、牧、渔业</w:t>
            </w:r>
          </w:p>
        </w:tc>
        <w:tc>
          <w:tcPr>
            <w:tcW w:w="1104"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营业收入(Y)</w:t>
            </w:r>
          </w:p>
        </w:tc>
        <w:tc>
          <w:tcPr>
            <w:tcW w:w="1097"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万元</w:t>
            </w:r>
          </w:p>
        </w:tc>
        <w:tc>
          <w:tcPr>
            <w:tcW w:w="129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Y≥20000</w:t>
            </w:r>
          </w:p>
        </w:tc>
        <w:tc>
          <w:tcPr>
            <w:tcW w:w="1561"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500≤Y&lt;20000</w:t>
            </w:r>
          </w:p>
        </w:tc>
        <w:tc>
          <w:tcPr>
            <w:tcW w:w="1389" w:type="dxa"/>
            <w:noWrap w:val="0"/>
            <w:vAlign w:val="center"/>
          </w:tcPr>
          <w:p>
            <w:pPr>
              <w:widowControl/>
              <w:spacing w:after="113" w:line="180" w:lineRule="atLeast"/>
              <w:rPr>
                <w:rFonts w:ascii="宋体" w:hAnsi="宋体"/>
                <w:sz w:val="18"/>
                <w:szCs w:val="18"/>
              </w:rPr>
            </w:pPr>
            <w:r>
              <w:rPr>
                <w:rFonts w:hint="eastAsia" w:ascii="宋体" w:hAnsi="宋体"/>
                <w:sz w:val="18"/>
                <w:szCs w:val="18"/>
              </w:rPr>
              <w:t>50≤Y&lt;500</w:t>
            </w:r>
          </w:p>
        </w:tc>
        <w:tc>
          <w:tcPr>
            <w:tcW w:w="96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Y&lt;50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restart"/>
            <w:noWrap w:val="0"/>
            <w:vAlign w:val="center"/>
          </w:tcPr>
          <w:p>
            <w:pPr>
              <w:pStyle w:val="6"/>
              <w:jc w:val="center"/>
              <w:rPr>
                <w:rFonts w:ascii="宋体" w:hAnsi="宋体"/>
                <w:sz w:val="18"/>
                <w:szCs w:val="18"/>
              </w:rPr>
            </w:pPr>
            <w:r>
              <w:rPr>
                <w:rFonts w:hint="eastAsia" w:ascii="宋体" w:hAnsi="宋体"/>
                <w:sz w:val="18"/>
                <w:szCs w:val="18"/>
              </w:rPr>
              <w:t>工业</w:t>
            </w:r>
          </w:p>
        </w:tc>
        <w:tc>
          <w:tcPr>
            <w:tcW w:w="1104"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从业人员(X)</w:t>
            </w:r>
          </w:p>
        </w:tc>
        <w:tc>
          <w:tcPr>
            <w:tcW w:w="1097"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人</w:t>
            </w:r>
          </w:p>
        </w:tc>
        <w:tc>
          <w:tcPr>
            <w:tcW w:w="129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X≥1000</w:t>
            </w:r>
          </w:p>
        </w:tc>
        <w:tc>
          <w:tcPr>
            <w:tcW w:w="1561"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300≤X&lt;1000</w:t>
            </w:r>
          </w:p>
        </w:tc>
        <w:tc>
          <w:tcPr>
            <w:tcW w:w="1389"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20≤X&lt;300</w:t>
            </w:r>
          </w:p>
        </w:tc>
        <w:tc>
          <w:tcPr>
            <w:tcW w:w="96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continue"/>
            <w:noWrap w:val="0"/>
            <w:vAlign w:val="center"/>
          </w:tcPr>
          <w:p>
            <w:pPr>
              <w:pStyle w:val="6"/>
              <w:jc w:val="center"/>
              <w:rPr>
                <w:rFonts w:ascii="宋体" w:hAnsi="宋体"/>
                <w:sz w:val="18"/>
                <w:szCs w:val="18"/>
              </w:rPr>
            </w:pPr>
          </w:p>
        </w:tc>
        <w:tc>
          <w:tcPr>
            <w:tcW w:w="1104"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营业收入(Y)</w:t>
            </w:r>
          </w:p>
        </w:tc>
        <w:tc>
          <w:tcPr>
            <w:tcW w:w="1097"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万元</w:t>
            </w:r>
          </w:p>
        </w:tc>
        <w:tc>
          <w:tcPr>
            <w:tcW w:w="129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Y≥40000</w:t>
            </w:r>
          </w:p>
        </w:tc>
        <w:tc>
          <w:tcPr>
            <w:tcW w:w="1561"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2000≤Y&lt;40000</w:t>
            </w:r>
          </w:p>
        </w:tc>
        <w:tc>
          <w:tcPr>
            <w:tcW w:w="1389"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300≤Y&lt;2000</w:t>
            </w:r>
          </w:p>
        </w:tc>
        <w:tc>
          <w:tcPr>
            <w:tcW w:w="96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Y&lt;300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restart"/>
            <w:noWrap w:val="0"/>
            <w:vAlign w:val="center"/>
          </w:tcPr>
          <w:p>
            <w:pPr>
              <w:pStyle w:val="6"/>
              <w:jc w:val="center"/>
              <w:rPr>
                <w:rFonts w:ascii="宋体" w:hAnsi="宋体"/>
                <w:sz w:val="18"/>
                <w:szCs w:val="18"/>
              </w:rPr>
            </w:pPr>
            <w:r>
              <w:rPr>
                <w:rFonts w:hint="eastAsia" w:ascii="宋体" w:hAnsi="宋体"/>
                <w:sz w:val="18"/>
                <w:szCs w:val="18"/>
              </w:rPr>
              <w:t>建筑业</w:t>
            </w:r>
          </w:p>
        </w:tc>
        <w:tc>
          <w:tcPr>
            <w:tcW w:w="1104"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营业收入(Y)</w:t>
            </w:r>
          </w:p>
        </w:tc>
        <w:tc>
          <w:tcPr>
            <w:tcW w:w="1097"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万元</w:t>
            </w:r>
          </w:p>
        </w:tc>
        <w:tc>
          <w:tcPr>
            <w:tcW w:w="129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Y≥80000</w:t>
            </w:r>
          </w:p>
        </w:tc>
        <w:tc>
          <w:tcPr>
            <w:tcW w:w="1561"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6000≤Y&lt;80000</w:t>
            </w:r>
          </w:p>
        </w:tc>
        <w:tc>
          <w:tcPr>
            <w:tcW w:w="1389"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300≤Y&lt;6000</w:t>
            </w:r>
          </w:p>
        </w:tc>
        <w:tc>
          <w:tcPr>
            <w:tcW w:w="96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Y&lt;300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continue"/>
            <w:noWrap w:val="0"/>
            <w:vAlign w:val="center"/>
          </w:tcPr>
          <w:p>
            <w:pPr>
              <w:pStyle w:val="6"/>
              <w:jc w:val="center"/>
              <w:rPr>
                <w:rFonts w:ascii="宋体" w:hAnsi="宋体"/>
                <w:sz w:val="18"/>
                <w:szCs w:val="18"/>
              </w:rPr>
            </w:pPr>
          </w:p>
        </w:tc>
        <w:tc>
          <w:tcPr>
            <w:tcW w:w="1104"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资产总额(Z)</w:t>
            </w:r>
          </w:p>
        </w:tc>
        <w:tc>
          <w:tcPr>
            <w:tcW w:w="1097"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万元</w:t>
            </w:r>
          </w:p>
        </w:tc>
        <w:tc>
          <w:tcPr>
            <w:tcW w:w="129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Z≥80000</w:t>
            </w:r>
          </w:p>
        </w:tc>
        <w:tc>
          <w:tcPr>
            <w:tcW w:w="1561"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5000≤Z&lt;80000</w:t>
            </w:r>
          </w:p>
        </w:tc>
        <w:tc>
          <w:tcPr>
            <w:tcW w:w="1389"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300≤Z&lt;5000</w:t>
            </w:r>
          </w:p>
        </w:tc>
        <w:tc>
          <w:tcPr>
            <w:tcW w:w="96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Z&lt;300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restart"/>
            <w:noWrap w:val="0"/>
            <w:vAlign w:val="center"/>
          </w:tcPr>
          <w:p>
            <w:pPr>
              <w:pStyle w:val="6"/>
              <w:jc w:val="center"/>
              <w:rPr>
                <w:rFonts w:ascii="宋体" w:hAnsi="宋体"/>
                <w:sz w:val="18"/>
                <w:szCs w:val="18"/>
              </w:rPr>
            </w:pPr>
            <w:r>
              <w:rPr>
                <w:rFonts w:hint="eastAsia" w:ascii="宋体" w:hAnsi="宋体"/>
                <w:sz w:val="18"/>
                <w:szCs w:val="18"/>
              </w:rPr>
              <w:t>批发业</w:t>
            </w:r>
          </w:p>
        </w:tc>
        <w:tc>
          <w:tcPr>
            <w:tcW w:w="1104"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从业人员(X)</w:t>
            </w:r>
          </w:p>
        </w:tc>
        <w:tc>
          <w:tcPr>
            <w:tcW w:w="1097"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人</w:t>
            </w:r>
          </w:p>
        </w:tc>
        <w:tc>
          <w:tcPr>
            <w:tcW w:w="129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X≥200</w:t>
            </w:r>
          </w:p>
        </w:tc>
        <w:tc>
          <w:tcPr>
            <w:tcW w:w="1561"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20≤X&lt;200</w:t>
            </w:r>
          </w:p>
        </w:tc>
        <w:tc>
          <w:tcPr>
            <w:tcW w:w="1389"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5≤X&lt;20</w:t>
            </w:r>
          </w:p>
        </w:tc>
        <w:tc>
          <w:tcPr>
            <w:tcW w:w="96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X&lt;5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continue"/>
            <w:noWrap w:val="0"/>
            <w:vAlign w:val="center"/>
          </w:tcPr>
          <w:p>
            <w:pPr>
              <w:pStyle w:val="6"/>
              <w:jc w:val="center"/>
              <w:rPr>
                <w:rFonts w:ascii="宋体" w:hAnsi="宋体"/>
                <w:sz w:val="18"/>
                <w:szCs w:val="18"/>
              </w:rPr>
            </w:pPr>
          </w:p>
        </w:tc>
        <w:tc>
          <w:tcPr>
            <w:tcW w:w="1104"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营业收入(Y)</w:t>
            </w:r>
          </w:p>
        </w:tc>
        <w:tc>
          <w:tcPr>
            <w:tcW w:w="1097"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万元</w:t>
            </w:r>
          </w:p>
        </w:tc>
        <w:tc>
          <w:tcPr>
            <w:tcW w:w="129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Y≥40000</w:t>
            </w:r>
          </w:p>
        </w:tc>
        <w:tc>
          <w:tcPr>
            <w:tcW w:w="1561"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5000≤Y&lt;40000</w:t>
            </w:r>
          </w:p>
        </w:tc>
        <w:tc>
          <w:tcPr>
            <w:tcW w:w="1389" w:type="dxa"/>
            <w:noWrap w:val="0"/>
            <w:vAlign w:val="center"/>
          </w:tcPr>
          <w:p>
            <w:pPr>
              <w:widowControl/>
              <w:spacing w:after="113" w:line="180" w:lineRule="atLeast"/>
              <w:rPr>
                <w:rFonts w:ascii="宋体" w:hAnsi="宋体"/>
                <w:sz w:val="18"/>
                <w:szCs w:val="18"/>
              </w:rPr>
            </w:pPr>
            <w:r>
              <w:rPr>
                <w:rFonts w:hint="eastAsia" w:ascii="宋体" w:hAnsi="宋体"/>
                <w:sz w:val="18"/>
                <w:szCs w:val="18"/>
              </w:rPr>
              <w:t>1000≤Y&lt;5000</w:t>
            </w:r>
          </w:p>
        </w:tc>
        <w:tc>
          <w:tcPr>
            <w:tcW w:w="96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Y&lt;1000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restart"/>
            <w:noWrap w:val="0"/>
            <w:vAlign w:val="center"/>
          </w:tcPr>
          <w:p>
            <w:pPr>
              <w:pStyle w:val="6"/>
              <w:jc w:val="center"/>
              <w:rPr>
                <w:rFonts w:ascii="宋体" w:hAnsi="宋体"/>
                <w:sz w:val="18"/>
                <w:szCs w:val="18"/>
              </w:rPr>
            </w:pPr>
            <w:r>
              <w:rPr>
                <w:rFonts w:hint="eastAsia" w:ascii="宋体" w:hAnsi="宋体"/>
                <w:sz w:val="18"/>
                <w:szCs w:val="18"/>
              </w:rPr>
              <w:t>零售业</w:t>
            </w:r>
          </w:p>
        </w:tc>
        <w:tc>
          <w:tcPr>
            <w:tcW w:w="1104"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从业人员(X)</w:t>
            </w:r>
          </w:p>
        </w:tc>
        <w:tc>
          <w:tcPr>
            <w:tcW w:w="1097"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人</w:t>
            </w:r>
          </w:p>
        </w:tc>
        <w:tc>
          <w:tcPr>
            <w:tcW w:w="129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X≥300</w:t>
            </w:r>
          </w:p>
        </w:tc>
        <w:tc>
          <w:tcPr>
            <w:tcW w:w="1561"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50≤X&lt;300</w:t>
            </w:r>
          </w:p>
        </w:tc>
        <w:tc>
          <w:tcPr>
            <w:tcW w:w="1389"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10≤X&lt;50</w:t>
            </w:r>
          </w:p>
        </w:tc>
        <w:tc>
          <w:tcPr>
            <w:tcW w:w="96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1" w:type="dxa"/>
            <w:vMerge w:val="continue"/>
            <w:noWrap w:val="0"/>
            <w:vAlign w:val="center"/>
          </w:tcPr>
          <w:p>
            <w:pPr>
              <w:pStyle w:val="6"/>
              <w:jc w:val="center"/>
              <w:rPr>
                <w:rFonts w:ascii="宋体" w:hAnsi="宋体"/>
                <w:sz w:val="18"/>
                <w:szCs w:val="18"/>
              </w:rPr>
            </w:pPr>
          </w:p>
        </w:tc>
        <w:tc>
          <w:tcPr>
            <w:tcW w:w="1104"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营业收入(Y)</w:t>
            </w:r>
          </w:p>
        </w:tc>
        <w:tc>
          <w:tcPr>
            <w:tcW w:w="1097"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万元</w:t>
            </w:r>
          </w:p>
        </w:tc>
        <w:tc>
          <w:tcPr>
            <w:tcW w:w="129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Y≥20000</w:t>
            </w:r>
          </w:p>
        </w:tc>
        <w:tc>
          <w:tcPr>
            <w:tcW w:w="1561"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500≤Y&lt;20000</w:t>
            </w:r>
          </w:p>
        </w:tc>
        <w:tc>
          <w:tcPr>
            <w:tcW w:w="1389"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100≤Y&lt;500</w:t>
            </w:r>
          </w:p>
        </w:tc>
        <w:tc>
          <w:tcPr>
            <w:tcW w:w="96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111" w:type="dxa"/>
            <w:vMerge w:val="restart"/>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交通运输业</w:t>
            </w:r>
          </w:p>
        </w:tc>
        <w:tc>
          <w:tcPr>
            <w:tcW w:w="1104"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从业人员(X)</w:t>
            </w:r>
          </w:p>
        </w:tc>
        <w:tc>
          <w:tcPr>
            <w:tcW w:w="1097"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人</w:t>
            </w:r>
          </w:p>
        </w:tc>
        <w:tc>
          <w:tcPr>
            <w:tcW w:w="129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X≥1000</w:t>
            </w:r>
          </w:p>
        </w:tc>
        <w:tc>
          <w:tcPr>
            <w:tcW w:w="1561"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300≤X&lt;1000</w:t>
            </w:r>
          </w:p>
        </w:tc>
        <w:tc>
          <w:tcPr>
            <w:tcW w:w="1389"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20≤X&lt;300</w:t>
            </w:r>
          </w:p>
        </w:tc>
        <w:tc>
          <w:tcPr>
            <w:tcW w:w="96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continue"/>
            <w:noWrap w:val="0"/>
            <w:vAlign w:val="center"/>
          </w:tcPr>
          <w:p>
            <w:pPr>
              <w:widowControl/>
              <w:spacing w:after="113" w:line="180" w:lineRule="atLeast"/>
              <w:jc w:val="center"/>
              <w:rPr>
                <w:rFonts w:ascii="宋体" w:hAnsi="宋体"/>
                <w:sz w:val="18"/>
                <w:szCs w:val="18"/>
              </w:rPr>
            </w:pPr>
          </w:p>
        </w:tc>
        <w:tc>
          <w:tcPr>
            <w:tcW w:w="1104"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营业收入(Y)</w:t>
            </w:r>
          </w:p>
        </w:tc>
        <w:tc>
          <w:tcPr>
            <w:tcW w:w="1097"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万元</w:t>
            </w:r>
          </w:p>
        </w:tc>
        <w:tc>
          <w:tcPr>
            <w:tcW w:w="129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Y≥30000</w:t>
            </w:r>
          </w:p>
        </w:tc>
        <w:tc>
          <w:tcPr>
            <w:tcW w:w="1561"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3000≤Y&lt;30000</w:t>
            </w:r>
          </w:p>
        </w:tc>
        <w:tc>
          <w:tcPr>
            <w:tcW w:w="1389"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200≤Y&lt;3000</w:t>
            </w:r>
          </w:p>
        </w:tc>
        <w:tc>
          <w:tcPr>
            <w:tcW w:w="96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Y&lt;200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restart"/>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仓储业</w:t>
            </w:r>
          </w:p>
        </w:tc>
        <w:tc>
          <w:tcPr>
            <w:tcW w:w="1104"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从业人员(X)</w:t>
            </w:r>
          </w:p>
        </w:tc>
        <w:tc>
          <w:tcPr>
            <w:tcW w:w="1097"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人</w:t>
            </w:r>
          </w:p>
        </w:tc>
        <w:tc>
          <w:tcPr>
            <w:tcW w:w="129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X≥200</w:t>
            </w:r>
          </w:p>
        </w:tc>
        <w:tc>
          <w:tcPr>
            <w:tcW w:w="1561"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100≤X&lt;200</w:t>
            </w:r>
          </w:p>
        </w:tc>
        <w:tc>
          <w:tcPr>
            <w:tcW w:w="1389"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20≤X&lt;100</w:t>
            </w:r>
          </w:p>
        </w:tc>
        <w:tc>
          <w:tcPr>
            <w:tcW w:w="96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continue"/>
            <w:noWrap w:val="0"/>
            <w:vAlign w:val="center"/>
          </w:tcPr>
          <w:p>
            <w:pPr>
              <w:widowControl/>
              <w:spacing w:after="113" w:line="180" w:lineRule="atLeast"/>
              <w:jc w:val="center"/>
              <w:rPr>
                <w:rFonts w:ascii="宋体" w:hAnsi="宋体"/>
                <w:sz w:val="18"/>
                <w:szCs w:val="18"/>
              </w:rPr>
            </w:pPr>
          </w:p>
        </w:tc>
        <w:tc>
          <w:tcPr>
            <w:tcW w:w="1104"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营业收入(Y)</w:t>
            </w:r>
          </w:p>
        </w:tc>
        <w:tc>
          <w:tcPr>
            <w:tcW w:w="1097"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万元</w:t>
            </w:r>
          </w:p>
        </w:tc>
        <w:tc>
          <w:tcPr>
            <w:tcW w:w="129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Y≥30000</w:t>
            </w:r>
          </w:p>
        </w:tc>
        <w:tc>
          <w:tcPr>
            <w:tcW w:w="1561"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1000≤Y&lt;30000</w:t>
            </w:r>
          </w:p>
        </w:tc>
        <w:tc>
          <w:tcPr>
            <w:tcW w:w="1389"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100≤Y&lt;1000</w:t>
            </w:r>
          </w:p>
        </w:tc>
        <w:tc>
          <w:tcPr>
            <w:tcW w:w="96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restart"/>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邮政业</w:t>
            </w:r>
          </w:p>
        </w:tc>
        <w:tc>
          <w:tcPr>
            <w:tcW w:w="1104"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从业人员(X)</w:t>
            </w:r>
          </w:p>
        </w:tc>
        <w:tc>
          <w:tcPr>
            <w:tcW w:w="1097"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人</w:t>
            </w:r>
          </w:p>
        </w:tc>
        <w:tc>
          <w:tcPr>
            <w:tcW w:w="129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X≥1000</w:t>
            </w:r>
          </w:p>
        </w:tc>
        <w:tc>
          <w:tcPr>
            <w:tcW w:w="1561"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300≤X&lt;1000</w:t>
            </w:r>
          </w:p>
        </w:tc>
        <w:tc>
          <w:tcPr>
            <w:tcW w:w="1389"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20≤X&lt;300</w:t>
            </w:r>
          </w:p>
        </w:tc>
        <w:tc>
          <w:tcPr>
            <w:tcW w:w="96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continue"/>
            <w:noWrap w:val="0"/>
            <w:vAlign w:val="center"/>
          </w:tcPr>
          <w:p>
            <w:pPr>
              <w:widowControl/>
              <w:spacing w:after="113" w:line="180" w:lineRule="atLeast"/>
              <w:jc w:val="center"/>
              <w:rPr>
                <w:rFonts w:ascii="宋体" w:hAnsi="宋体"/>
                <w:sz w:val="18"/>
                <w:szCs w:val="18"/>
              </w:rPr>
            </w:pPr>
          </w:p>
        </w:tc>
        <w:tc>
          <w:tcPr>
            <w:tcW w:w="1104"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营业收入(Y)</w:t>
            </w:r>
          </w:p>
        </w:tc>
        <w:tc>
          <w:tcPr>
            <w:tcW w:w="1097"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万元</w:t>
            </w:r>
          </w:p>
        </w:tc>
        <w:tc>
          <w:tcPr>
            <w:tcW w:w="129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Y≥30000</w:t>
            </w:r>
          </w:p>
        </w:tc>
        <w:tc>
          <w:tcPr>
            <w:tcW w:w="1561"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2000≤Y&lt;30000</w:t>
            </w:r>
          </w:p>
        </w:tc>
        <w:tc>
          <w:tcPr>
            <w:tcW w:w="1389"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100≤Y&lt;2000</w:t>
            </w:r>
          </w:p>
        </w:tc>
        <w:tc>
          <w:tcPr>
            <w:tcW w:w="96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111" w:type="dxa"/>
            <w:vMerge w:val="restart"/>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住宿业</w:t>
            </w:r>
          </w:p>
        </w:tc>
        <w:tc>
          <w:tcPr>
            <w:tcW w:w="1104"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从业人员(X)</w:t>
            </w:r>
          </w:p>
        </w:tc>
        <w:tc>
          <w:tcPr>
            <w:tcW w:w="1097"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人</w:t>
            </w:r>
          </w:p>
        </w:tc>
        <w:tc>
          <w:tcPr>
            <w:tcW w:w="129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X≥300</w:t>
            </w:r>
          </w:p>
        </w:tc>
        <w:tc>
          <w:tcPr>
            <w:tcW w:w="1561"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100≤X&lt;300</w:t>
            </w:r>
          </w:p>
        </w:tc>
        <w:tc>
          <w:tcPr>
            <w:tcW w:w="1389"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10≤X&lt;100</w:t>
            </w:r>
          </w:p>
        </w:tc>
        <w:tc>
          <w:tcPr>
            <w:tcW w:w="96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continue"/>
            <w:noWrap w:val="0"/>
            <w:vAlign w:val="center"/>
          </w:tcPr>
          <w:p>
            <w:pPr>
              <w:widowControl/>
              <w:spacing w:after="113" w:line="180" w:lineRule="atLeast"/>
              <w:jc w:val="center"/>
              <w:rPr>
                <w:rFonts w:ascii="宋体" w:hAnsi="宋体"/>
                <w:sz w:val="18"/>
                <w:szCs w:val="18"/>
              </w:rPr>
            </w:pPr>
          </w:p>
        </w:tc>
        <w:tc>
          <w:tcPr>
            <w:tcW w:w="1104"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营业收入(Y)</w:t>
            </w:r>
          </w:p>
        </w:tc>
        <w:tc>
          <w:tcPr>
            <w:tcW w:w="1097"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万元</w:t>
            </w:r>
          </w:p>
        </w:tc>
        <w:tc>
          <w:tcPr>
            <w:tcW w:w="129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Y≥10000</w:t>
            </w:r>
          </w:p>
        </w:tc>
        <w:tc>
          <w:tcPr>
            <w:tcW w:w="1561"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2000≤Y&lt;10000</w:t>
            </w:r>
          </w:p>
        </w:tc>
        <w:tc>
          <w:tcPr>
            <w:tcW w:w="1389"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100≤Y&lt;2000</w:t>
            </w:r>
          </w:p>
        </w:tc>
        <w:tc>
          <w:tcPr>
            <w:tcW w:w="96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restart"/>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餐饮业</w:t>
            </w:r>
          </w:p>
        </w:tc>
        <w:tc>
          <w:tcPr>
            <w:tcW w:w="1104"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从业人员(X)</w:t>
            </w:r>
          </w:p>
        </w:tc>
        <w:tc>
          <w:tcPr>
            <w:tcW w:w="1097"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人</w:t>
            </w:r>
          </w:p>
        </w:tc>
        <w:tc>
          <w:tcPr>
            <w:tcW w:w="129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X≥300</w:t>
            </w:r>
          </w:p>
        </w:tc>
        <w:tc>
          <w:tcPr>
            <w:tcW w:w="1561"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100≤X&lt;300</w:t>
            </w:r>
          </w:p>
        </w:tc>
        <w:tc>
          <w:tcPr>
            <w:tcW w:w="1389"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10≤X&lt;100</w:t>
            </w:r>
          </w:p>
        </w:tc>
        <w:tc>
          <w:tcPr>
            <w:tcW w:w="96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continue"/>
            <w:noWrap w:val="0"/>
            <w:vAlign w:val="center"/>
          </w:tcPr>
          <w:p>
            <w:pPr>
              <w:widowControl/>
              <w:spacing w:after="113" w:line="180" w:lineRule="atLeast"/>
              <w:jc w:val="center"/>
              <w:rPr>
                <w:rFonts w:ascii="宋体" w:hAnsi="宋体"/>
                <w:sz w:val="18"/>
                <w:szCs w:val="18"/>
              </w:rPr>
            </w:pPr>
          </w:p>
        </w:tc>
        <w:tc>
          <w:tcPr>
            <w:tcW w:w="1104"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营业收入(Y)</w:t>
            </w:r>
          </w:p>
        </w:tc>
        <w:tc>
          <w:tcPr>
            <w:tcW w:w="1097"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万元</w:t>
            </w:r>
          </w:p>
        </w:tc>
        <w:tc>
          <w:tcPr>
            <w:tcW w:w="129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Y≥10000</w:t>
            </w:r>
          </w:p>
        </w:tc>
        <w:tc>
          <w:tcPr>
            <w:tcW w:w="1561"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2000≤Y&lt;10000</w:t>
            </w:r>
          </w:p>
        </w:tc>
        <w:tc>
          <w:tcPr>
            <w:tcW w:w="1389"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100≤Y&lt;2000</w:t>
            </w:r>
          </w:p>
        </w:tc>
        <w:tc>
          <w:tcPr>
            <w:tcW w:w="96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restart"/>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信息传输业</w:t>
            </w:r>
          </w:p>
        </w:tc>
        <w:tc>
          <w:tcPr>
            <w:tcW w:w="1104"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从业人员(X)</w:t>
            </w:r>
          </w:p>
        </w:tc>
        <w:tc>
          <w:tcPr>
            <w:tcW w:w="1097"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人</w:t>
            </w:r>
          </w:p>
        </w:tc>
        <w:tc>
          <w:tcPr>
            <w:tcW w:w="129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X≥2000</w:t>
            </w:r>
          </w:p>
        </w:tc>
        <w:tc>
          <w:tcPr>
            <w:tcW w:w="1561"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100≤X&lt;2000</w:t>
            </w:r>
          </w:p>
        </w:tc>
        <w:tc>
          <w:tcPr>
            <w:tcW w:w="1389"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10≤X&lt;100</w:t>
            </w:r>
          </w:p>
        </w:tc>
        <w:tc>
          <w:tcPr>
            <w:tcW w:w="96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continue"/>
            <w:noWrap w:val="0"/>
            <w:vAlign w:val="center"/>
          </w:tcPr>
          <w:p>
            <w:pPr>
              <w:widowControl/>
              <w:spacing w:after="113" w:line="180" w:lineRule="atLeast"/>
              <w:jc w:val="center"/>
              <w:rPr>
                <w:rFonts w:ascii="宋体" w:hAnsi="宋体"/>
                <w:sz w:val="18"/>
                <w:szCs w:val="18"/>
              </w:rPr>
            </w:pPr>
          </w:p>
        </w:tc>
        <w:tc>
          <w:tcPr>
            <w:tcW w:w="1104"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营业收入(Y)</w:t>
            </w:r>
          </w:p>
        </w:tc>
        <w:tc>
          <w:tcPr>
            <w:tcW w:w="1097"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万元</w:t>
            </w:r>
          </w:p>
        </w:tc>
        <w:tc>
          <w:tcPr>
            <w:tcW w:w="129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Y≥100000</w:t>
            </w:r>
          </w:p>
        </w:tc>
        <w:tc>
          <w:tcPr>
            <w:tcW w:w="1561"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1000≤Y&lt;100000</w:t>
            </w:r>
          </w:p>
        </w:tc>
        <w:tc>
          <w:tcPr>
            <w:tcW w:w="1389"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100≤Y&lt;1000</w:t>
            </w:r>
          </w:p>
        </w:tc>
        <w:tc>
          <w:tcPr>
            <w:tcW w:w="96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restart"/>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软件和信息技术服务业</w:t>
            </w:r>
          </w:p>
        </w:tc>
        <w:tc>
          <w:tcPr>
            <w:tcW w:w="1104"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从业人员(X)</w:t>
            </w:r>
          </w:p>
        </w:tc>
        <w:tc>
          <w:tcPr>
            <w:tcW w:w="1097"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人</w:t>
            </w:r>
          </w:p>
        </w:tc>
        <w:tc>
          <w:tcPr>
            <w:tcW w:w="129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X≥300</w:t>
            </w:r>
          </w:p>
        </w:tc>
        <w:tc>
          <w:tcPr>
            <w:tcW w:w="1561"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100≤X&lt;300</w:t>
            </w:r>
          </w:p>
        </w:tc>
        <w:tc>
          <w:tcPr>
            <w:tcW w:w="1389"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10≤X&lt;100</w:t>
            </w:r>
          </w:p>
        </w:tc>
        <w:tc>
          <w:tcPr>
            <w:tcW w:w="96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continue"/>
            <w:noWrap w:val="0"/>
            <w:vAlign w:val="center"/>
          </w:tcPr>
          <w:p>
            <w:pPr>
              <w:widowControl/>
              <w:spacing w:after="113" w:line="180" w:lineRule="atLeast"/>
              <w:jc w:val="center"/>
              <w:rPr>
                <w:rFonts w:ascii="宋体" w:hAnsi="宋体"/>
                <w:sz w:val="18"/>
                <w:szCs w:val="18"/>
              </w:rPr>
            </w:pPr>
          </w:p>
        </w:tc>
        <w:tc>
          <w:tcPr>
            <w:tcW w:w="1104"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营业收入(Y)</w:t>
            </w:r>
          </w:p>
        </w:tc>
        <w:tc>
          <w:tcPr>
            <w:tcW w:w="1097"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万元</w:t>
            </w:r>
          </w:p>
        </w:tc>
        <w:tc>
          <w:tcPr>
            <w:tcW w:w="129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Y≥10000</w:t>
            </w:r>
          </w:p>
        </w:tc>
        <w:tc>
          <w:tcPr>
            <w:tcW w:w="1561"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1000≤Y&lt;10000</w:t>
            </w:r>
          </w:p>
        </w:tc>
        <w:tc>
          <w:tcPr>
            <w:tcW w:w="1389"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50≤Y&lt;1000</w:t>
            </w:r>
          </w:p>
        </w:tc>
        <w:tc>
          <w:tcPr>
            <w:tcW w:w="96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Y&lt;50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restart"/>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房地产开发经营</w:t>
            </w:r>
          </w:p>
        </w:tc>
        <w:tc>
          <w:tcPr>
            <w:tcW w:w="1104"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营业收入(Y)</w:t>
            </w:r>
          </w:p>
        </w:tc>
        <w:tc>
          <w:tcPr>
            <w:tcW w:w="1097"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万元</w:t>
            </w:r>
          </w:p>
        </w:tc>
        <w:tc>
          <w:tcPr>
            <w:tcW w:w="129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Y≥200000</w:t>
            </w:r>
          </w:p>
        </w:tc>
        <w:tc>
          <w:tcPr>
            <w:tcW w:w="1561"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1000≤Y&lt;200000</w:t>
            </w:r>
          </w:p>
        </w:tc>
        <w:tc>
          <w:tcPr>
            <w:tcW w:w="1389"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100≤Y&lt;1000</w:t>
            </w:r>
          </w:p>
        </w:tc>
        <w:tc>
          <w:tcPr>
            <w:tcW w:w="96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continue"/>
            <w:noWrap w:val="0"/>
            <w:vAlign w:val="center"/>
          </w:tcPr>
          <w:p>
            <w:pPr>
              <w:widowControl/>
              <w:spacing w:after="113" w:line="180" w:lineRule="atLeast"/>
              <w:jc w:val="center"/>
              <w:rPr>
                <w:rFonts w:ascii="宋体" w:hAnsi="宋体"/>
                <w:sz w:val="18"/>
                <w:szCs w:val="18"/>
              </w:rPr>
            </w:pPr>
          </w:p>
        </w:tc>
        <w:tc>
          <w:tcPr>
            <w:tcW w:w="1104"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资产总额(Z)</w:t>
            </w:r>
          </w:p>
        </w:tc>
        <w:tc>
          <w:tcPr>
            <w:tcW w:w="1097"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万元</w:t>
            </w:r>
          </w:p>
        </w:tc>
        <w:tc>
          <w:tcPr>
            <w:tcW w:w="129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Z≥10000</w:t>
            </w:r>
          </w:p>
        </w:tc>
        <w:tc>
          <w:tcPr>
            <w:tcW w:w="1561"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5000≤Z&lt;10000</w:t>
            </w:r>
          </w:p>
        </w:tc>
        <w:tc>
          <w:tcPr>
            <w:tcW w:w="1389"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2000≤Z&lt;5000</w:t>
            </w:r>
          </w:p>
        </w:tc>
        <w:tc>
          <w:tcPr>
            <w:tcW w:w="96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Z&lt;2000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restart"/>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物业管理</w:t>
            </w:r>
          </w:p>
        </w:tc>
        <w:tc>
          <w:tcPr>
            <w:tcW w:w="1104"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从业人员(X)</w:t>
            </w:r>
          </w:p>
        </w:tc>
        <w:tc>
          <w:tcPr>
            <w:tcW w:w="1097"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人</w:t>
            </w:r>
          </w:p>
        </w:tc>
        <w:tc>
          <w:tcPr>
            <w:tcW w:w="129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X≥1000</w:t>
            </w:r>
          </w:p>
        </w:tc>
        <w:tc>
          <w:tcPr>
            <w:tcW w:w="1561"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300≤X&lt;1000</w:t>
            </w:r>
          </w:p>
        </w:tc>
        <w:tc>
          <w:tcPr>
            <w:tcW w:w="1389"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100≤X&lt;300</w:t>
            </w:r>
          </w:p>
        </w:tc>
        <w:tc>
          <w:tcPr>
            <w:tcW w:w="96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X&lt;100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continue"/>
            <w:noWrap w:val="0"/>
            <w:vAlign w:val="center"/>
          </w:tcPr>
          <w:p>
            <w:pPr>
              <w:widowControl/>
              <w:spacing w:after="113" w:line="180" w:lineRule="atLeast"/>
              <w:jc w:val="center"/>
              <w:rPr>
                <w:rFonts w:ascii="宋体" w:hAnsi="宋体"/>
                <w:sz w:val="18"/>
                <w:szCs w:val="18"/>
              </w:rPr>
            </w:pPr>
          </w:p>
        </w:tc>
        <w:tc>
          <w:tcPr>
            <w:tcW w:w="1104"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营业收入(Y)</w:t>
            </w:r>
          </w:p>
        </w:tc>
        <w:tc>
          <w:tcPr>
            <w:tcW w:w="1097"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万元</w:t>
            </w:r>
          </w:p>
        </w:tc>
        <w:tc>
          <w:tcPr>
            <w:tcW w:w="129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Y≥5000</w:t>
            </w:r>
          </w:p>
        </w:tc>
        <w:tc>
          <w:tcPr>
            <w:tcW w:w="1561"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1000≤Y&lt;5000</w:t>
            </w:r>
          </w:p>
        </w:tc>
        <w:tc>
          <w:tcPr>
            <w:tcW w:w="1389"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500≤Y&lt;1000</w:t>
            </w:r>
          </w:p>
        </w:tc>
        <w:tc>
          <w:tcPr>
            <w:tcW w:w="96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Y&lt;500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restart"/>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租赁和商务服务业</w:t>
            </w:r>
          </w:p>
        </w:tc>
        <w:tc>
          <w:tcPr>
            <w:tcW w:w="1104"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从业人员(X)</w:t>
            </w:r>
          </w:p>
        </w:tc>
        <w:tc>
          <w:tcPr>
            <w:tcW w:w="1097"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人</w:t>
            </w:r>
          </w:p>
        </w:tc>
        <w:tc>
          <w:tcPr>
            <w:tcW w:w="129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X≥300</w:t>
            </w:r>
          </w:p>
        </w:tc>
        <w:tc>
          <w:tcPr>
            <w:tcW w:w="1561"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100≤X&lt;300</w:t>
            </w:r>
          </w:p>
        </w:tc>
        <w:tc>
          <w:tcPr>
            <w:tcW w:w="1389"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10≤X&lt;100</w:t>
            </w:r>
          </w:p>
        </w:tc>
        <w:tc>
          <w:tcPr>
            <w:tcW w:w="96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continue"/>
            <w:noWrap w:val="0"/>
            <w:vAlign w:val="center"/>
          </w:tcPr>
          <w:p>
            <w:pPr>
              <w:widowControl/>
              <w:spacing w:after="113" w:line="180" w:lineRule="atLeast"/>
              <w:jc w:val="center"/>
              <w:rPr>
                <w:rFonts w:ascii="宋体" w:hAnsi="宋体"/>
                <w:sz w:val="18"/>
                <w:szCs w:val="18"/>
              </w:rPr>
            </w:pPr>
          </w:p>
        </w:tc>
        <w:tc>
          <w:tcPr>
            <w:tcW w:w="1104"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资产总额(Z)</w:t>
            </w:r>
          </w:p>
        </w:tc>
        <w:tc>
          <w:tcPr>
            <w:tcW w:w="1097"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万元</w:t>
            </w:r>
          </w:p>
        </w:tc>
        <w:tc>
          <w:tcPr>
            <w:tcW w:w="129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Z≥120000</w:t>
            </w:r>
          </w:p>
        </w:tc>
        <w:tc>
          <w:tcPr>
            <w:tcW w:w="1561"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8000≤Z&lt;120000</w:t>
            </w:r>
          </w:p>
        </w:tc>
        <w:tc>
          <w:tcPr>
            <w:tcW w:w="1389"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100≤Z&lt;8000</w:t>
            </w:r>
          </w:p>
        </w:tc>
        <w:tc>
          <w:tcPr>
            <w:tcW w:w="96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Z&lt;100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其他未列明行业</w:t>
            </w:r>
          </w:p>
        </w:tc>
        <w:tc>
          <w:tcPr>
            <w:tcW w:w="1104"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从业人员(X)</w:t>
            </w:r>
          </w:p>
        </w:tc>
        <w:tc>
          <w:tcPr>
            <w:tcW w:w="1097"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人</w:t>
            </w:r>
          </w:p>
        </w:tc>
        <w:tc>
          <w:tcPr>
            <w:tcW w:w="129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X≥300</w:t>
            </w:r>
          </w:p>
        </w:tc>
        <w:tc>
          <w:tcPr>
            <w:tcW w:w="1561"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100≤X&lt;300</w:t>
            </w:r>
          </w:p>
        </w:tc>
        <w:tc>
          <w:tcPr>
            <w:tcW w:w="1389"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10≤X&lt;100</w:t>
            </w:r>
          </w:p>
        </w:tc>
        <w:tc>
          <w:tcPr>
            <w:tcW w:w="965" w:type="dxa"/>
            <w:noWrap w:val="0"/>
            <w:vAlign w:val="center"/>
          </w:tcPr>
          <w:p>
            <w:pPr>
              <w:widowControl/>
              <w:spacing w:after="113" w:line="180" w:lineRule="atLeast"/>
              <w:jc w:val="center"/>
              <w:rPr>
                <w:rFonts w:ascii="宋体" w:hAnsi="宋体"/>
                <w:sz w:val="18"/>
                <w:szCs w:val="18"/>
              </w:rPr>
            </w:pPr>
            <w:r>
              <w:rPr>
                <w:rFonts w:hint="eastAsia" w:ascii="宋体" w:hAnsi="宋体"/>
                <w:sz w:val="18"/>
                <w:szCs w:val="18"/>
              </w:rPr>
              <w:t>X&lt;10</w:t>
            </w:r>
          </w:p>
        </w:tc>
      </w:tr>
    </w:tbl>
    <w:p>
      <w:pPr>
        <w:pStyle w:val="6"/>
        <w:jc w:val="center"/>
        <w:rPr>
          <w:rFonts w:ascii="宋体" w:hAnsi="宋体"/>
          <w:sz w:val="24"/>
          <w:szCs w:val="24"/>
        </w:rPr>
      </w:pPr>
    </w:p>
    <w:p>
      <w:pPr>
        <w:pStyle w:val="6"/>
        <w:ind w:firstLine="470" w:firstLineChars="196"/>
        <w:rPr>
          <w:rFonts w:hint="eastAsia" w:ascii="宋体" w:hAnsi="宋体"/>
          <w:b/>
          <w:bCs/>
          <w:sz w:val="24"/>
        </w:rPr>
      </w:pPr>
    </w:p>
    <w:p>
      <w:pPr>
        <w:spacing w:line="360" w:lineRule="auto"/>
        <w:ind w:firstLine="470" w:firstLineChars="196"/>
        <w:jc w:val="center"/>
        <w:rPr>
          <w:rFonts w:ascii="宋体" w:hAnsi="宋体"/>
          <w:sz w:val="24"/>
        </w:rPr>
      </w:pPr>
      <w:r>
        <w:rPr>
          <w:rFonts w:hint="eastAsia" w:ascii="宋体" w:hAnsi="宋体"/>
          <w:b/>
          <w:bCs/>
          <w:sz w:val="24"/>
        </w:rPr>
        <w:t>采购清单说明</w:t>
      </w:r>
    </w:p>
    <w:p>
      <w:pPr>
        <w:spacing w:line="360" w:lineRule="auto"/>
        <w:rPr>
          <w:rFonts w:hint="eastAsia" w:ascii="宋体" w:hAnsi="宋体"/>
          <w:b/>
          <w:bCs/>
          <w:color w:val="auto"/>
          <w:sz w:val="24"/>
        </w:rPr>
      </w:pPr>
      <w:r>
        <w:rPr>
          <w:rFonts w:hint="eastAsia" w:ascii="宋体" w:hAnsi="宋体"/>
          <w:b/>
          <w:bCs/>
          <w:color w:val="auto"/>
          <w:sz w:val="24"/>
        </w:rPr>
        <w:t>一、项目概述及设计范围</w:t>
      </w:r>
    </w:p>
    <w:p>
      <w:pPr>
        <w:spacing w:line="360" w:lineRule="auto"/>
        <w:ind w:firstLine="470" w:firstLineChars="196"/>
        <w:rPr>
          <w:rFonts w:hint="eastAsia" w:ascii="宋体" w:hAnsi="宋体"/>
          <w:bCs/>
          <w:color w:val="auto"/>
          <w:sz w:val="24"/>
        </w:rPr>
      </w:pPr>
      <w:r>
        <w:rPr>
          <w:rFonts w:hint="eastAsia" w:ascii="宋体" w:hAnsi="宋体"/>
          <w:bCs/>
          <w:color w:val="auto"/>
          <w:sz w:val="24"/>
        </w:rPr>
        <w:t>芜湖市院前急救体系能力提升（基建部分）设计项目，包括</w:t>
      </w:r>
      <w:r>
        <w:rPr>
          <w:rFonts w:hint="eastAsia" w:ascii="宋体" w:hAnsi="宋体"/>
          <w:bCs/>
          <w:color w:val="auto"/>
          <w:sz w:val="24"/>
          <w:lang w:eastAsia="zh-CN"/>
        </w:rPr>
        <w:t>芜湖市第一人民医</w:t>
      </w:r>
      <w:r>
        <w:rPr>
          <w:rFonts w:hint="eastAsia" w:ascii="宋体" w:hAnsi="宋体"/>
          <w:bCs/>
          <w:color w:val="auto"/>
          <w:sz w:val="24"/>
        </w:rPr>
        <w:t>院急救分站标准化建设项目和</w:t>
      </w:r>
      <w:r>
        <w:rPr>
          <w:rFonts w:hint="eastAsia" w:ascii="宋体" w:hAnsi="宋体"/>
          <w:bCs/>
          <w:color w:val="auto"/>
          <w:sz w:val="24"/>
          <w:lang w:eastAsia="zh-CN"/>
        </w:rPr>
        <w:t>芜湖市</w:t>
      </w:r>
      <w:r>
        <w:rPr>
          <w:rFonts w:hint="eastAsia" w:ascii="宋体" w:hAnsi="宋体"/>
          <w:bCs/>
          <w:color w:val="auto"/>
          <w:sz w:val="24"/>
        </w:rPr>
        <w:t>中</w:t>
      </w:r>
      <w:r>
        <w:rPr>
          <w:rFonts w:hint="eastAsia" w:ascii="宋体" w:hAnsi="宋体"/>
          <w:bCs/>
          <w:color w:val="auto"/>
          <w:sz w:val="24"/>
          <w:lang w:eastAsia="zh-CN"/>
        </w:rPr>
        <w:t>医</w:t>
      </w:r>
      <w:r>
        <w:rPr>
          <w:rFonts w:hint="eastAsia" w:ascii="宋体" w:hAnsi="宋体"/>
          <w:bCs/>
          <w:color w:val="auto"/>
          <w:sz w:val="24"/>
        </w:rPr>
        <w:t>医院急救分站项目。</w:t>
      </w:r>
    </w:p>
    <w:p>
      <w:pPr>
        <w:spacing w:line="360" w:lineRule="auto"/>
        <w:ind w:firstLine="470" w:firstLineChars="196"/>
        <w:rPr>
          <w:rFonts w:hint="eastAsia" w:ascii="宋体" w:hAnsi="宋体"/>
          <w:bCs/>
          <w:color w:val="auto"/>
          <w:sz w:val="24"/>
        </w:rPr>
      </w:pPr>
      <w:r>
        <w:rPr>
          <w:rFonts w:hint="eastAsia" w:ascii="宋体" w:hAnsi="宋体"/>
          <w:bCs/>
          <w:color w:val="auto"/>
          <w:sz w:val="24"/>
        </w:rPr>
        <w:t>1、芜湖市第一人民医院急救分站标准化建设项目位于一院东北角，占地350㎡,建筑面积约400㎡。设计内容包含规划方案、建筑主体、室内装饰、消防、智能化、空调、综合管线、室外附属设施设计等。</w:t>
      </w:r>
    </w:p>
    <w:p>
      <w:pPr>
        <w:spacing w:line="360" w:lineRule="auto"/>
        <w:ind w:firstLine="470" w:firstLineChars="196"/>
        <w:rPr>
          <w:rFonts w:hint="eastAsia" w:ascii="宋体" w:hAnsi="宋体"/>
          <w:bCs/>
          <w:color w:val="auto"/>
          <w:sz w:val="24"/>
        </w:rPr>
      </w:pPr>
      <w:r>
        <w:rPr>
          <w:rFonts w:hint="eastAsia" w:ascii="宋体" w:hAnsi="宋体"/>
          <w:bCs/>
          <w:color w:val="auto"/>
          <w:sz w:val="24"/>
        </w:rPr>
        <w:t>根据项目实际情况进行方案设计、初步设计、施工图设计、施工图全过程服务等工程范围内内容。</w:t>
      </w:r>
    </w:p>
    <w:p>
      <w:pPr>
        <w:spacing w:line="360" w:lineRule="auto"/>
        <w:ind w:firstLine="470" w:firstLineChars="196"/>
        <w:rPr>
          <w:rFonts w:hint="eastAsia" w:ascii="宋体" w:hAnsi="宋体"/>
          <w:bCs/>
          <w:color w:val="auto"/>
          <w:sz w:val="24"/>
        </w:rPr>
      </w:pPr>
      <w:r>
        <w:rPr>
          <w:rFonts w:hint="eastAsia" w:ascii="宋体" w:hAnsi="宋体"/>
          <w:bCs/>
          <w:color w:val="auto"/>
          <w:sz w:val="24"/>
        </w:rPr>
        <w:t>2、芜湖市中医医院急救分站建筑面积约170㎡。设计内容包含建筑主体、室内装饰、消防、智能化、空调、综合管线、室外附属设施设计等。</w:t>
      </w:r>
    </w:p>
    <w:p>
      <w:pPr>
        <w:spacing w:line="360" w:lineRule="auto"/>
        <w:ind w:firstLine="470" w:firstLineChars="196"/>
        <w:rPr>
          <w:rFonts w:hint="eastAsia" w:ascii="宋体" w:hAnsi="宋体"/>
          <w:b/>
          <w:bCs/>
          <w:color w:val="auto"/>
          <w:sz w:val="24"/>
        </w:rPr>
      </w:pPr>
      <w:r>
        <w:rPr>
          <w:rFonts w:hint="eastAsia" w:ascii="宋体" w:hAnsi="宋体"/>
          <w:bCs/>
          <w:color w:val="auto"/>
          <w:sz w:val="24"/>
        </w:rPr>
        <w:t>根据项目实际情况进行初步设计、施工图设计、施工图全过程服务等工程范围内容。</w:t>
      </w:r>
      <w:r>
        <w:rPr>
          <w:rFonts w:hint="eastAsia" w:ascii="宋体" w:hAnsi="宋体"/>
          <w:bCs/>
          <w:color w:val="auto"/>
          <w:sz w:val="24"/>
        </w:rPr>
        <w:cr/>
      </w:r>
      <w:r>
        <w:rPr>
          <w:rFonts w:hint="eastAsia" w:ascii="宋体" w:hAnsi="宋体"/>
          <w:bCs/>
          <w:color w:val="auto"/>
          <w:sz w:val="24"/>
        </w:rPr>
        <w:t> </w:t>
      </w:r>
      <w:r>
        <w:rPr>
          <w:rFonts w:hint="eastAsia" w:ascii="宋体" w:hAnsi="宋体"/>
          <w:bCs/>
          <w:color w:val="auto"/>
          <w:sz w:val="24"/>
        </w:rPr>
        <w:cr/>
      </w:r>
      <w:r>
        <w:rPr>
          <w:rFonts w:hint="eastAsia" w:ascii="宋体" w:hAnsi="宋体"/>
          <w:b/>
          <w:bCs/>
          <w:color w:val="auto"/>
          <w:sz w:val="24"/>
        </w:rPr>
        <w:t>二、设计要求</w:t>
      </w:r>
    </w:p>
    <w:p>
      <w:pPr>
        <w:spacing w:line="360" w:lineRule="auto"/>
        <w:ind w:firstLine="470" w:firstLineChars="196"/>
        <w:rPr>
          <w:rFonts w:hint="eastAsia" w:ascii="宋体" w:hAnsi="宋体"/>
          <w:bCs/>
          <w:color w:val="auto"/>
          <w:sz w:val="24"/>
        </w:rPr>
      </w:pPr>
      <w:r>
        <w:rPr>
          <w:rFonts w:hint="eastAsia" w:ascii="宋体" w:hAnsi="宋体"/>
          <w:bCs/>
          <w:color w:val="auto"/>
          <w:sz w:val="24"/>
        </w:rPr>
        <w:t>1、设计应符合相关规定和业主实际使用要求。</w:t>
      </w:r>
    </w:p>
    <w:p>
      <w:pPr>
        <w:spacing w:line="360" w:lineRule="auto"/>
        <w:ind w:firstLine="470" w:firstLineChars="196"/>
        <w:rPr>
          <w:rFonts w:hint="eastAsia" w:ascii="宋体" w:hAnsi="宋体"/>
          <w:bCs/>
          <w:color w:val="auto"/>
          <w:sz w:val="24"/>
          <w:highlight w:val="none"/>
        </w:rPr>
      </w:pPr>
      <w:r>
        <w:rPr>
          <w:rFonts w:hint="eastAsia" w:ascii="宋体" w:hAnsi="宋体"/>
          <w:bCs/>
          <w:color w:val="auto"/>
          <w:sz w:val="24"/>
          <w:highlight w:val="none"/>
        </w:rPr>
        <w:t>2、中标单位在中标15天内完成芜湖市第一人民医院分站规划方案，方案审批通过后20天内提供保证图审合格的相应图纸（包括电子档和纸质材料）；同时，中标单位在中标20天内完成芜湖市中医医院分站施工图设计，报送图审保证合格。</w:t>
      </w:r>
    </w:p>
    <w:p>
      <w:pPr>
        <w:pStyle w:val="6"/>
        <w:jc w:val="center"/>
        <w:rPr>
          <w:rFonts w:hint="eastAsia" w:ascii="宋体" w:hAnsi="宋体"/>
          <w:color w:val="auto"/>
          <w:sz w:val="24"/>
          <w:szCs w:val="24"/>
          <w:highlight w:val="none"/>
        </w:rPr>
      </w:pPr>
    </w:p>
    <w:p>
      <w:pPr>
        <w:pStyle w:val="6"/>
        <w:jc w:val="center"/>
        <w:rPr>
          <w:rFonts w:hint="eastAsia" w:ascii="宋体" w:hAnsi="宋体"/>
          <w:color w:val="auto"/>
          <w:sz w:val="24"/>
          <w:szCs w:val="24"/>
        </w:rPr>
      </w:pPr>
    </w:p>
    <w:p>
      <w:pPr>
        <w:pStyle w:val="6"/>
        <w:jc w:val="center"/>
        <w:rPr>
          <w:rFonts w:hint="eastAsia" w:ascii="宋体" w:hAnsi="宋体"/>
          <w:sz w:val="24"/>
          <w:szCs w:val="24"/>
        </w:rPr>
      </w:pPr>
    </w:p>
    <w:p>
      <w:pPr>
        <w:pStyle w:val="6"/>
        <w:jc w:val="center"/>
        <w:rPr>
          <w:rFonts w:hint="eastAsia" w:ascii="宋体" w:hAnsi="宋体"/>
          <w:sz w:val="24"/>
          <w:szCs w:val="24"/>
        </w:rPr>
      </w:pPr>
    </w:p>
    <w:p>
      <w:pPr>
        <w:pStyle w:val="6"/>
        <w:jc w:val="center"/>
        <w:rPr>
          <w:rFonts w:hint="eastAsia" w:ascii="宋体" w:hAnsi="宋体"/>
          <w:sz w:val="24"/>
          <w:szCs w:val="24"/>
        </w:rPr>
      </w:pPr>
    </w:p>
    <w:p>
      <w:pPr>
        <w:pStyle w:val="6"/>
        <w:jc w:val="center"/>
        <w:rPr>
          <w:rFonts w:hint="eastAsia" w:ascii="宋体" w:hAnsi="宋体"/>
          <w:sz w:val="24"/>
          <w:szCs w:val="24"/>
        </w:rPr>
      </w:pPr>
    </w:p>
    <w:p>
      <w:pPr>
        <w:pStyle w:val="6"/>
        <w:jc w:val="center"/>
        <w:rPr>
          <w:rFonts w:hint="eastAsia" w:ascii="宋体" w:hAnsi="宋体"/>
          <w:sz w:val="24"/>
          <w:szCs w:val="24"/>
        </w:rPr>
      </w:pPr>
    </w:p>
    <w:p>
      <w:pPr>
        <w:pStyle w:val="6"/>
        <w:jc w:val="center"/>
        <w:rPr>
          <w:rFonts w:hint="eastAsia" w:ascii="宋体" w:hAnsi="宋体"/>
          <w:sz w:val="24"/>
          <w:szCs w:val="24"/>
        </w:rPr>
      </w:pPr>
    </w:p>
    <w:p>
      <w:pPr>
        <w:pStyle w:val="6"/>
        <w:jc w:val="center"/>
        <w:rPr>
          <w:rFonts w:hint="eastAsia" w:ascii="宋体" w:hAnsi="宋体"/>
          <w:sz w:val="24"/>
          <w:szCs w:val="24"/>
        </w:rPr>
      </w:pPr>
    </w:p>
    <w:p>
      <w:pPr>
        <w:pStyle w:val="6"/>
        <w:jc w:val="center"/>
        <w:rPr>
          <w:rFonts w:hint="eastAsia" w:ascii="宋体" w:hAnsi="宋体"/>
          <w:sz w:val="24"/>
          <w:szCs w:val="24"/>
        </w:rPr>
      </w:pPr>
    </w:p>
    <w:p>
      <w:pPr>
        <w:pStyle w:val="6"/>
        <w:jc w:val="center"/>
        <w:rPr>
          <w:rFonts w:hint="eastAsia" w:ascii="宋体" w:hAnsi="宋体"/>
          <w:sz w:val="24"/>
          <w:szCs w:val="24"/>
        </w:rPr>
      </w:pPr>
    </w:p>
    <w:p>
      <w:pPr>
        <w:pStyle w:val="6"/>
        <w:jc w:val="center"/>
        <w:rPr>
          <w:rFonts w:hint="eastAsia" w:ascii="宋体" w:hAnsi="宋体"/>
          <w:sz w:val="24"/>
          <w:szCs w:val="24"/>
        </w:rPr>
      </w:pPr>
    </w:p>
    <w:p>
      <w:pPr>
        <w:pStyle w:val="6"/>
        <w:jc w:val="center"/>
        <w:rPr>
          <w:rFonts w:hint="eastAsia" w:ascii="宋体" w:hAnsi="宋体"/>
          <w:sz w:val="24"/>
          <w:szCs w:val="24"/>
        </w:rPr>
      </w:pPr>
    </w:p>
    <w:p>
      <w:pPr>
        <w:pStyle w:val="6"/>
        <w:jc w:val="center"/>
        <w:rPr>
          <w:rFonts w:hint="eastAsia" w:ascii="宋体" w:hAnsi="宋体"/>
          <w:sz w:val="24"/>
          <w:szCs w:val="24"/>
        </w:rPr>
      </w:pPr>
    </w:p>
    <w:p>
      <w:pPr>
        <w:pStyle w:val="6"/>
        <w:jc w:val="center"/>
        <w:rPr>
          <w:rFonts w:hint="eastAsia" w:ascii="宋体" w:hAnsi="宋体"/>
          <w:sz w:val="24"/>
          <w:szCs w:val="24"/>
        </w:rPr>
      </w:pPr>
    </w:p>
    <w:p>
      <w:pPr>
        <w:pStyle w:val="6"/>
        <w:jc w:val="center"/>
        <w:rPr>
          <w:rFonts w:hint="eastAsia" w:ascii="宋体" w:hAnsi="宋体"/>
          <w:sz w:val="24"/>
          <w:szCs w:val="24"/>
        </w:rPr>
      </w:pPr>
    </w:p>
    <w:p>
      <w:pPr>
        <w:pStyle w:val="6"/>
        <w:jc w:val="center"/>
        <w:rPr>
          <w:rFonts w:hint="eastAsia" w:ascii="宋体" w:hAnsi="宋体"/>
          <w:sz w:val="24"/>
          <w:szCs w:val="24"/>
        </w:rPr>
      </w:pPr>
    </w:p>
    <w:p>
      <w:pPr>
        <w:pStyle w:val="6"/>
        <w:jc w:val="center"/>
        <w:rPr>
          <w:rFonts w:hint="eastAsia" w:ascii="宋体" w:hAnsi="宋体"/>
          <w:sz w:val="24"/>
          <w:szCs w:val="24"/>
        </w:rPr>
      </w:pPr>
    </w:p>
    <w:p>
      <w:pPr>
        <w:pStyle w:val="6"/>
        <w:jc w:val="center"/>
        <w:rPr>
          <w:rFonts w:hint="eastAsia" w:ascii="宋体" w:hAnsi="宋体"/>
          <w:sz w:val="24"/>
          <w:szCs w:val="24"/>
        </w:rPr>
      </w:pPr>
    </w:p>
    <w:p>
      <w:pPr>
        <w:pStyle w:val="6"/>
        <w:jc w:val="center"/>
        <w:rPr>
          <w:szCs w:val="24"/>
        </w:rPr>
        <w:sectPr>
          <w:footerReference r:id="rId3" w:type="default"/>
          <w:pgSz w:w="11906" w:h="16838"/>
          <w:pgMar w:top="1440" w:right="1800" w:bottom="1440" w:left="1800" w:header="851" w:footer="992" w:gutter="0"/>
          <w:cols w:space="720" w:num="1"/>
          <w:docGrid w:type="linesAndChars" w:linePitch="315" w:charSpace="0"/>
        </w:sectPr>
      </w:pPr>
    </w:p>
    <w:p>
      <w:pPr>
        <w:pStyle w:val="6"/>
        <w:jc w:val="center"/>
        <w:rPr>
          <w:szCs w:val="24"/>
        </w:rPr>
      </w:pPr>
      <w:r>
        <w:rPr>
          <w:rFonts w:hint="eastAsia"/>
          <w:szCs w:val="24"/>
        </w:rPr>
        <w:t>采购需求一览表</w:t>
      </w:r>
    </w:p>
    <w:tbl>
      <w:tblPr>
        <w:tblStyle w:val="4"/>
        <w:tblpPr w:leftFromText="180" w:rightFromText="180" w:vertAnchor="text" w:horzAnchor="page" w:tblpX="1369" w:tblpY="291"/>
        <w:tblOverlap w:val="never"/>
        <w:tblW w:w="144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33"/>
        <w:gridCol w:w="3040"/>
        <w:gridCol w:w="986"/>
        <w:gridCol w:w="812"/>
        <w:gridCol w:w="729"/>
        <w:gridCol w:w="1162"/>
        <w:gridCol w:w="2015"/>
        <w:gridCol w:w="1651"/>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675" w:type="dxa"/>
            <w:noWrap w:val="0"/>
            <w:vAlign w:val="center"/>
          </w:tcPr>
          <w:p>
            <w:pPr>
              <w:spacing w:line="360" w:lineRule="auto"/>
              <w:jc w:val="center"/>
            </w:pPr>
            <w:r>
              <w:t>序号</w:t>
            </w:r>
          </w:p>
        </w:tc>
        <w:tc>
          <w:tcPr>
            <w:tcW w:w="1733" w:type="dxa"/>
            <w:noWrap w:val="0"/>
            <w:vAlign w:val="center"/>
          </w:tcPr>
          <w:p>
            <w:pPr>
              <w:spacing w:line="360" w:lineRule="auto"/>
              <w:jc w:val="center"/>
            </w:pPr>
            <w:r>
              <w:t>名称</w:t>
            </w:r>
          </w:p>
        </w:tc>
        <w:tc>
          <w:tcPr>
            <w:tcW w:w="3040" w:type="dxa"/>
            <w:noWrap w:val="0"/>
            <w:vAlign w:val="center"/>
          </w:tcPr>
          <w:p>
            <w:pPr>
              <w:spacing w:line="360" w:lineRule="auto"/>
              <w:jc w:val="center"/>
            </w:pPr>
            <w:r>
              <w:rPr>
                <w:rFonts w:hint="eastAsia"/>
              </w:rPr>
              <w:t>服务要求</w:t>
            </w:r>
          </w:p>
        </w:tc>
        <w:tc>
          <w:tcPr>
            <w:tcW w:w="986" w:type="dxa"/>
            <w:noWrap w:val="0"/>
            <w:vAlign w:val="center"/>
          </w:tcPr>
          <w:p>
            <w:pPr>
              <w:jc w:val="center"/>
            </w:pPr>
            <w:r>
              <w:t>数量</w:t>
            </w:r>
          </w:p>
        </w:tc>
        <w:tc>
          <w:tcPr>
            <w:tcW w:w="812" w:type="dxa"/>
            <w:noWrap w:val="0"/>
            <w:vAlign w:val="center"/>
          </w:tcPr>
          <w:p>
            <w:pPr>
              <w:jc w:val="center"/>
            </w:pPr>
            <w:r>
              <w:t>单位</w:t>
            </w:r>
          </w:p>
        </w:tc>
        <w:tc>
          <w:tcPr>
            <w:tcW w:w="729" w:type="dxa"/>
            <w:noWrap w:val="0"/>
            <w:vAlign w:val="center"/>
          </w:tcPr>
          <w:p>
            <w:pPr>
              <w:jc w:val="center"/>
            </w:pPr>
            <w:r>
              <w:t>单价</w:t>
            </w:r>
          </w:p>
        </w:tc>
        <w:tc>
          <w:tcPr>
            <w:tcW w:w="1162" w:type="dxa"/>
            <w:noWrap w:val="0"/>
            <w:vAlign w:val="center"/>
          </w:tcPr>
          <w:p>
            <w:pPr>
              <w:jc w:val="center"/>
            </w:pPr>
            <w:r>
              <w:t>合计价</w:t>
            </w:r>
          </w:p>
        </w:tc>
        <w:tc>
          <w:tcPr>
            <w:tcW w:w="2015" w:type="dxa"/>
            <w:noWrap w:val="0"/>
            <w:vAlign w:val="center"/>
          </w:tcPr>
          <w:p>
            <w:r>
              <w:rPr>
                <w:rFonts w:hint="eastAsia"/>
              </w:rPr>
              <w:t>所属行业（按工信部联企业【2011】300号）</w:t>
            </w:r>
          </w:p>
        </w:tc>
        <w:tc>
          <w:tcPr>
            <w:tcW w:w="1651" w:type="dxa"/>
            <w:noWrap w:val="0"/>
            <w:vAlign w:val="center"/>
          </w:tcPr>
          <w:p>
            <w:pPr>
              <w:jc w:val="center"/>
            </w:pPr>
            <w:r>
              <w:rPr>
                <w:rFonts w:hint="eastAsia"/>
              </w:rPr>
              <w:t>标的性质（货物/服务）</w:t>
            </w:r>
          </w:p>
        </w:tc>
        <w:tc>
          <w:tcPr>
            <w:tcW w:w="1651" w:type="dxa"/>
            <w:noWrap w:val="0"/>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trPr>
        <w:tc>
          <w:tcPr>
            <w:tcW w:w="675" w:type="dxa"/>
            <w:noWrap w:val="0"/>
            <w:vAlign w:val="center"/>
          </w:tcPr>
          <w:p>
            <w:pPr>
              <w:spacing w:line="360" w:lineRule="auto"/>
              <w:jc w:val="center"/>
              <w:rPr>
                <w:color w:val="auto"/>
              </w:rPr>
            </w:pPr>
            <w:r>
              <w:rPr>
                <w:rFonts w:hint="eastAsia"/>
                <w:color w:val="auto"/>
              </w:rPr>
              <w:t>▲1</w:t>
            </w:r>
          </w:p>
        </w:tc>
        <w:tc>
          <w:tcPr>
            <w:tcW w:w="1733" w:type="dxa"/>
            <w:noWrap w:val="0"/>
            <w:vAlign w:val="center"/>
          </w:tcPr>
          <w:p>
            <w:pPr>
              <w:spacing w:line="360" w:lineRule="auto"/>
              <w:jc w:val="center"/>
              <w:rPr>
                <w:color w:val="auto"/>
              </w:rPr>
            </w:pPr>
            <w:r>
              <w:rPr>
                <w:rFonts w:hint="eastAsia"/>
                <w:color w:val="auto"/>
              </w:rPr>
              <w:t>芜湖市院前急救体系能力提升（基建部分）设计项目</w:t>
            </w:r>
          </w:p>
        </w:tc>
        <w:tc>
          <w:tcPr>
            <w:tcW w:w="3040" w:type="dxa"/>
            <w:noWrap w:val="0"/>
            <w:vAlign w:val="center"/>
          </w:tcPr>
          <w:p>
            <w:pPr>
              <w:rPr>
                <w:color w:val="auto"/>
              </w:rPr>
            </w:pPr>
            <w:r>
              <w:rPr>
                <w:rFonts w:hint="eastAsia"/>
                <w:color w:val="auto"/>
              </w:rPr>
              <w:t>中标单位在中标15天内完成芜湖市第一人民医院分站规划方案，方案审批通过后20天内提供保证图审合格的相应图纸（包括电子档和纸质材料）；同时，中标单位在中标20天内完成芜湖市中医医院分站施工图设计，报送图审保证合格。</w:t>
            </w:r>
          </w:p>
        </w:tc>
        <w:tc>
          <w:tcPr>
            <w:tcW w:w="986" w:type="dxa"/>
            <w:noWrap w:val="0"/>
            <w:vAlign w:val="center"/>
          </w:tcPr>
          <w:p>
            <w:pPr>
              <w:spacing w:line="360" w:lineRule="auto"/>
              <w:jc w:val="center"/>
              <w:rPr>
                <w:color w:val="auto"/>
              </w:rPr>
            </w:pPr>
            <w:r>
              <w:rPr>
                <w:rFonts w:hint="eastAsia"/>
                <w:color w:val="auto"/>
              </w:rPr>
              <w:t>1</w:t>
            </w:r>
          </w:p>
        </w:tc>
        <w:tc>
          <w:tcPr>
            <w:tcW w:w="812" w:type="dxa"/>
            <w:noWrap w:val="0"/>
            <w:vAlign w:val="center"/>
          </w:tcPr>
          <w:p>
            <w:pPr>
              <w:spacing w:line="360" w:lineRule="auto"/>
              <w:jc w:val="center"/>
              <w:rPr>
                <w:color w:val="auto"/>
              </w:rPr>
            </w:pPr>
            <w:r>
              <w:rPr>
                <w:color w:val="auto"/>
              </w:rPr>
              <w:t>项</w:t>
            </w:r>
          </w:p>
        </w:tc>
        <w:tc>
          <w:tcPr>
            <w:tcW w:w="729" w:type="dxa"/>
            <w:noWrap w:val="0"/>
            <w:vAlign w:val="center"/>
          </w:tcPr>
          <w:p>
            <w:pPr>
              <w:spacing w:line="360" w:lineRule="auto"/>
              <w:jc w:val="center"/>
              <w:rPr>
                <w:color w:val="auto"/>
              </w:rPr>
            </w:pPr>
          </w:p>
        </w:tc>
        <w:tc>
          <w:tcPr>
            <w:tcW w:w="1162" w:type="dxa"/>
            <w:noWrap w:val="0"/>
            <w:vAlign w:val="center"/>
          </w:tcPr>
          <w:p>
            <w:pPr>
              <w:spacing w:line="360" w:lineRule="auto"/>
              <w:jc w:val="center"/>
              <w:rPr>
                <w:color w:val="auto"/>
              </w:rPr>
            </w:pPr>
          </w:p>
        </w:tc>
        <w:tc>
          <w:tcPr>
            <w:tcW w:w="2015" w:type="dxa"/>
            <w:noWrap w:val="0"/>
            <w:vAlign w:val="center"/>
          </w:tcPr>
          <w:p>
            <w:pPr>
              <w:spacing w:line="360" w:lineRule="auto"/>
              <w:jc w:val="center"/>
              <w:rPr>
                <w:color w:val="auto"/>
              </w:rPr>
            </w:pPr>
            <w:r>
              <w:rPr>
                <w:color w:val="auto"/>
              </w:rPr>
              <w:t>其他</w:t>
            </w:r>
          </w:p>
        </w:tc>
        <w:tc>
          <w:tcPr>
            <w:tcW w:w="1651" w:type="dxa"/>
            <w:noWrap w:val="0"/>
            <w:vAlign w:val="center"/>
          </w:tcPr>
          <w:p>
            <w:pPr>
              <w:spacing w:line="360" w:lineRule="auto"/>
              <w:jc w:val="center"/>
              <w:rPr>
                <w:color w:val="auto"/>
              </w:rPr>
            </w:pPr>
            <w:r>
              <w:rPr>
                <w:color w:val="auto"/>
              </w:rPr>
              <w:t>服务</w:t>
            </w:r>
          </w:p>
        </w:tc>
        <w:tc>
          <w:tcPr>
            <w:tcW w:w="1651" w:type="dxa"/>
            <w:noWrap w:val="0"/>
            <w:vAlign w:val="center"/>
          </w:tcPr>
          <w:p>
            <w:pPr>
              <w:spacing w:line="360" w:lineRule="auto"/>
              <w:jc w:val="center"/>
              <w:rPr>
                <w:color w:val="auto"/>
              </w:rPr>
            </w:pPr>
          </w:p>
        </w:tc>
      </w:tr>
    </w:tbl>
    <w:p>
      <w:pPr>
        <w:pStyle w:val="6"/>
        <w:jc w:val="center"/>
        <w:rPr>
          <w:rFonts w:ascii="宋体" w:hAnsi="宋体"/>
          <w:sz w:val="24"/>
          <w:szCs w:val="24"/>
        </w:rPr>
        <w:sectPr>
          <w:pgSz w:w="16838" w:h="11906" w:orient="landscape"/>
          <w:pgMar w:top="1797" w:right="1440" w:bottom="1797" w:left="1440" w:header="851" w:footer="992" w:gutter="0"/>
          <w:cols w:space="720" w:num="1"/>
          <w:docGrid w:type="lines" w:linePitch="315" w:charSpace="0"/>
        </w:sectPr>
      </w:pPr>
    </w:p>
    <w:p>
      <w:pPr>
        <w:pStyle w:val="6"/>
        <w:jc w:val="center"/>
        <w:rPr>
          <w:rFonts w:ascii="宋体" w:hAnsi="宋体"/>
          <w:sz w:val="24"/>
          <w:szCs w:val="24"/>
        </w:rPr>
      </w:pPr>
      <w:r>
        <w:rPr>
          <w:rFonts w:ascii="宋体" w:hAnsi="宋体"/>
          <w:sz w:val="24"/>
          <w:szCs w:val="24"/>
        </w:rPr>
        <w:t>本项目核心</w:t>
      </w:r>
      <w:r>
        <w:rPr>
          <w:rFonts w:hint="eastAsia" w:ascii="宋体" w:hAnsi="宋体"/>
          <w:sz w:val="24"/>
          <w:szCs w:val="24"/>
        </w:rPr>
        <w:t>服务项目</w:t>
      </w:r>
      <w:r>
        <w:rPr>
          <w:rFonts w:ascii="宋体" w:hAnsi="宋体"/>
          <w:sz w:val="24"/>
          <w:szCs w:val="24"/>
        </w:rPr>
        <w:t>一览表</w:t>
      </w:r>
    </w:p>
    <w:p>
      <w:pPr>
        <w:pStyle w:val="6"/>
        <w:ind w:firstLine="470" w:firstLineChars="196"/>
        <w:jc w:val="center"/>
        <w:rPr>
          <w:rFonts w:ascii="宋体" w:hAnsi="宋体"/>
          <w:sz w:val="24"/>
          <w:szCs w:val="24"/>
        </w:rPr>
      </w:pPr>
    </w:p>
    <w:tbl>
      <w:tblPr>
        <w:tblStyle w:val="4"/>
        <w:tblW w:w="0" w:type="auto"/>
        <w:jc w:val="center"/>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573"/>
        <w:gridCol w:w="6289"/>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28" w:hRule="atLeast"/>
          <w:jc w:val="center"/>
        </w:trPr>
        <w:tc>
          <w:tcPr>
            <w:tcW w:w="1573" w:type="dxa"/>
            <w:tcBorders>
              <w:top w:val="outset" w:color="auto" w:sz="6" w:space="0"/>
              <w:left w:val="outset" w:color="auto" w:sz="6" w:space="0"/>
              <w:bottom w:val="outset" w:color="auto" w:sz="6" w:space="0"/>
              <w:right w:val="outset" w:color="auto" w:sz="6" w:space="0"/>
            </w:tcBorders>
            <w:noWrap w:val="0"/>
            <w:vAlign w:val="center"/>
          </w:tcPr>
          <w:p>
            <w:pPr>
              <w:jc w:val="center"/>
            </w:pPr>
            <w:r>
              <w:t>序号</w:t>
            </w:r>
          </w:p>
        </w:tc>
        <w:tc>
          <w:tcPr>
            <w:tcW w:w="6289" w:type="dxa"/>
            <w:tcBorders>
              <w:top w:val="outset" w:color="auto" w:sz="6" w:space="0"/>
              <w:left w:val="outset" w:color="auto" w:sz="6" w:space="0"/>
              <w:bottom w:val="outset" w:color="auto" w:sz="6" w:space="0"/>
              <w:right w:val="outset" w:color="auto" w:sz="6" w:space="0"/>
            </w:tcBorders>
            <w:noWrap w:val="0"/>
            <w:vAlign w:val="center"/>
          </w:tcPr>
          <w:p>
            <w:pPr>
              <w:jc w:val="center"/>
            </w:pPr>
            <w:r>
              <w:t>核心</w:t>
            </w:r>
            <w:r>
              <w:rPr>
                <w:rFonts w:hint="eastAsia"/>
              </w:rPr>
              <w:t>服务名称</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28" w:hRule="atLeast"/>
          <w:jc w:val="center"/>
        </w:trPr>
        <w:tc>
          <w:tcPr>
            <w:tcW w:w="1573"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sz w:val="24"/>
              </w:rPr>
              <w:t>▲</w:t>
            </w:r>
            <w:r>
              <w:rPr>
                <w:rFonts w:hint="eastAsia"/>
              </w:rPr>
              <w:t>1</w:t>
            </w:r>
          </w:p>
        </w:tc>
        <w:tc>
          <w:tcPr>
            <w:tcW w:w="6289"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rPr>
              <w:t>芜湖市院前急救体系能力提升（基建部分）设计项目</w:t>
            </w:r>
          </w:p>
        </w:tc>
      </w:tr>
    </w:tbl>
    <w:p>
      <w:pPr>
        <w:pStyle w:val="6"/>
        <w:ind w:firstLine="470" w:firstLineChars="196"/>
        <w:jc w:val="center"/>
        <w:rPr>
          <w:rFonts w:ascii="宋体" w:hAnsi="宋体"/>
          <w:sz w:val="24"/>
          <w:szCs w:val="24"/>
        </w:rPr>
      </w:pPr>
    </w:p>
    <w:p>
      <w:pPr>
        <w:pStyle w:val="6"/>
        <w:ind w:firstLine="470" w:firstLineChars="196"/>
        <w:rPr>
          <w:rFonts w:ascii="宋体" w:hAnsi="宋体"/>
          <w:sz w:val="24"/>
          <w:szCs w:val="24"/>
        </w:rPr>
      </w:pPr>
      <w:r>
        <w:rPr>
          <w:rFonts w:hint="eastAsia" w:ascii="宋体" w:hAnsi="宋体"/>
          <w:sz w:val="24"/>
          <w:szCs w:val="24"/>
        </w:rPr>
        <w:t>备注：1.本表序号为采购需求一览表中对应的序号；</w:t>
      </w:r>
    </w:p>
    <w:p>
      <w:pPr>
        <w:pStyle w:val="6"/>
        <w:ind w:firstLine="1190" w:firstLineChars="496"/>
        <w:rPr>
          <w:rFonts w:hint="eastAsia" w:ascii="宋体" w:hAnsi="宋体" w:eastAsia="宋体"/>
          <w:sz w:val="24"/>
          <w:szCs w:val="24"/>
          <w:lang w:eastAsia="zh-CN"/>
        </w:rPr>
      </w:pPr>
      <w:r>
        <w:rPr>
          <w:rFonts w:hint="eastAsia" w:ascii="宋体" w:hAnsi="宋体"/>
          <w:sz w:val="24"/>
          <w:szCs w:val="24"/>
        </w:rPr>
        <w:t>2.上表应根据具体项目和评标办法合理填写。</w:t>
      </w:r>
    </w:p>
    <w:p>
      <w:pPr>
        <w:pStyle w:val="6"/>
        <w:ind w:firstLine="992" w:firstLineChars="496"/>
      </w:pPr>
      <w:r>
        <w:rPr>
          <w:rFonts w:hint="eastAsia"/>
          <w:sz w:val="20"/>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48</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3"/>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48</w:t>
                    </w:r>
                    <w:r>
                      <w:rPr>
                        <w:rFonts w:hint="eastAsia"/>
                      </w:rPr>
                      <w:fldChar w:fldCharType="end"/>
                    </w:r>
                    <w:r>
                      <w:rPr>
                        <w:rFonts w:hint="eastAsia"/>
                      </w:rPr>
                      <w:t xml:space="preserve"> 页</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483EB6"/>
    <w:rsid w:val="31483EB6"/>
    <w:rsid w:val="6D157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index 4"/>
    <w:basedOn w:val="1"/>
    <w:next w:val="1"/>
    <w:qFormat/>
    <w:uiPriority w:val="99"/>
    <w:pPr>
      <w:ind w:left="600" w:leftChars="600"/>
    </w:pPr>
    <w:rPr>
      <w:rFonts w:ascii="Calibri" w:hAnsi="Calibri"/>
    </w:rPr>
  </w:style>
  <w:style w:type="paragraph" w:styleId="3">
    <w:name w:val="footer"/>
    <w:basedOn w:val="1"/>
    <w:qFormat/>
    <w:uiPriority w:val="99"/>
    <w:pPr>
      <w:widowControl/>
      <w:tabs>
        <w:tab w:val="center" w:pos="4153"/>
        <w:tab w:val="right" w:pos="8306"/>
      </w:tabs>
      <w:snapToGrid w:val="0"/>
      <w:jc w:val="left"/>
    </w:pPr>
    <w:rPr>
      <w:rFonts w:ascii="宋体" w:hAnsi="宋体"/>
      <w:kern w:val="0"/>
      <w:sz w:val="18"/>
      <w:szCs w:val="18"/>
    </w:rPr>
  </w:style>
  <w:style w:type="paragraph" w:customStyle="1" w:styleId="6">
    <w:name w:val="正文_0_0"/>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2021-11-03T03:48:00Z</dcterms:created>
  <dc:creator>Administrator</dc:creator>
  <cp:lastModifiedBy>Administrator</cp:lastModifiedBy>
  <dcterms:modified xsi:type="dcterms:W3CDTF">2021-11-03T03:51:24Z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DE0A68A63FDD4A4887EB15F24150F55D</vt:lpwstr>
  </property>
</Properties>
</file>