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75" w:leftChars="-200" w:hanging="345" w:hangingChars="86"/>
        <w:jc w:val="center"/>
        <w:rPr>
          <w:b/>
          <w:bCs/>
          <w:sz w:val="40"/>
          <w:szCs w:val="40"/>
        </w:rPr>
      </w:pPr>
    </w:p>
    <w:p>
      <w:pPr>
        <w:jc w:val="center"/>
        <w:rPr>
          <w:rFonts w:ascii="宋体"/>
          <w:b/>
          <w:bCs/>
          <w:kern w:val="0"/>
          <w:sz w:val="40"/>
          <w:szCs w:val="40"/>
        </w:rPr>
      </w:pPr>
      <w:r>
        <w:rPr>
          <w:rFonts w:hint="eastAsia" w:ascii="宋体" w:hAnsi="宋体" w:cs="宋体"/>
          <w:b/>
          <w:bCs/>
          <w:sz w:val="40"/>
          <w:szCs w:val="40"/>
          <w:lang w:eastAsia="zh-CN"/>
        </w:rPr>
        <w:t>芜湖市院前急救体系能力提升120急救终端设备建设采购监理项目</w:t>
      </w:r>
      <w:r>
        <w:rPr>
          <w:rFonts w:ascii="宋体" w:hAnsi="宋体" w:cs="宋体"/>
          <w:b/>
          <w:bCs/>
          <w:kern w:val="0"/>
          <w:sz w:val="40"/>
          <w:szCs w:val="40"/>
        </w:rPr>
        <w:t xml:space="preserve"> </w:t>
      </w:r>
    </w:p>
    <w:p>
      <w:pPr>
        <w:jc w:val="center"/>
        <w:rPr>
          <w:rFonts w:ascii="宋体"/>
          <w:b/>
          <w:bCs/>
          <w:kern w:val="0"/>
          <w:sz w:val="40"/>
          <w:szCs w:val="40"/>
        </w:rPr>
      </w:pPr>
    </w:p>
    <w:p>
      <w:pPr>
        <w:jc w:val="center"/>
        <w:rPr>
          <w:rFonts w:ascii="宋体"/>
          <w:b/>
          <w:bCs/>
          <w:kern w:val="0"/>
          <w:sz w:val="40"/>
          <w:szCs w:val="40"/>
        </w:rPr>
      </w:pPr>
      <w:r>
        <w:rPr>
          <w:rFonts w:hint="eastAsia" w:ascii="宋体" w:hAnsi="宋体" w:cs="宋体"/>
          <w:b/>
          <w:bCs/>
          <w:kern w:val="0"/>
          <w:sz w:val="40"/>
          <w:szCs w:val="40"/>
        </w:rPr>
        <w:t>竞争性磋商文件</w:t>
      </w:r>
    </w:p>
    <w:p>
      <w:pPr>
        <w:jc w:val="center"/>
        <w:rPr>
          <w:rFonts w:ascii="宋体"/>
          <w:b/>
          <w:bCs/>
          <w:sz w:val="40"/>
          <w:szCs w:val="40"/>
        </w:rPr>
      </w:pPr>
    </w:p>
    <w:p>
      <w:pPr>
        <w:jc w:val="center"/>
        <w:rPr>
          <w:rFonts w:ascii="宋体"/>
          <w:b/>
          <w:bCs/>
          <w:sz w:val="40"/>
          <w:szCs w:val="40"/>
        </w:rPr>
      </w:pPr>
      <w:r>
        <w:rPr>
          <w:rFonts w:hint="eastAsia" w:ascii="宋体" w:hAnsi="宋体" w:cs="宋体"/>
          <w:b/>
          <w:bCs/>
          <w:sz w:val="40"/>
          <w:szCs w:val="40"/>
        </w:rPr>
        <w:t>项目编号：</w:t>
      </w:r>
      <w:r>
        <w:rPr>
          <w:rFonts w:hint="eastAsia" w:ascii="宋体" w:hAnsi="宋体" w:cs="宋体"/>
          <w:b/>
          <w:bCs/>
          <w:sz w:val="40"/>
          <w:szCs w:val="40"/>
          <w:lang w:eastAsia="zh-CN"/>
        </w:rPr>
        <w:t>ZB202207625</w:t>
      </w:r>
      <w:r>
        <w:rPr>
          <w:rFonts w:ascii="宋体" w:hAnsi="宋体" w:cs="宋体"/>
          <w:b/>
          <w:bCs/>
          <w:sz w:val="40"/>
          <w:szCs w:val="40"/>
        </w:rPr>
        <w:t xml:space="preserve"> </w:t>
      </w:r>
    </w:p>
    <w:p>
      <w:pPr>
        <w:jc w:val="center"/>
        <w:rPr>
          <w:rFonts w:ascii="宋体"/>
          <w:b/>
          <w:bCs/>
          <w:sz w:val="40"/>
          <w:szCs w:val="40"/>
        </w:rPr>
      </w:pPr>
    </w:p>
    <w:p>
      <w:pPr>
        <w:jc w:val="center"/>
        <w:rPr>
          <w:rFonts w:ascii="宋体"/>
          <w:b/>
          <w:bCs/>
          <w:sz w:val="28"/>
          <w:szCs w:val="28"/>
        </w:rPr>
      </w:pPr>
    </w:p>
    <w:p>
      <w:pPr>
        <w:jc w:val="center"/>
        <w:rPr>
          <w:rFonts w:ascii="宋体"/>
          <w:b/>
          <w:bCs/>
          <w:sz w:val="28"/>
          <w:szCs w:val="28"/>
        </w:rPr>
      </w:pPr>
      <w:r>
        <w:rPr>
          <w:rFonts w:ascii="宋体"/>
          <w:b/>
          <w:bCs/>
          <w:sz w:val="28"/>
          <w:szCs w:val="28"/>
        </w:rPr>
        <w:pict>
          <v:shape id="_x0000_i1025" o:spt="75" alt="LOGO_s" type="#_x0000_t75" style="height:144pt;width:159pt;" filled="f" o:preferrelative="t" stroked="f" coordsize="21600,21600">
            <v:path/>
            <v:fill on="f" focussize="0,0"/>
            <v:stroke on="f" joinstyle="miter"/>
            <v:imagedata r:id="rId7" o:title=""/>
            <o:lock v:ext="edit" aspectratio="t"/>
            <w10:wrap type="none"/>
            <w10:anchorlock/>
          </v:shape>
        </w:pict>
      </w:r>
    </w:p>
    <w:p>
      <w:pPr>
        <w:jc w:val="center"/>
        <w:rPr>
          <w:rFonts w:ascii="宋体"/>
          <w:b/>
          <w:bCs/>
          <w:sz w:val="28"/>
          <w:szCs w:val="28"/>
        </w:rPr>
      </w:pPr>
    </w:p>
    <w:p>
      <w:pPr>
        <w:jc w:val="center"/>
        <w:rPr>
          <w:rFonts w:ascii="宋体"/>
          <w:b/>
          <w:bCs/>
          <w:sz w:val="28"/>
          <w:szCs w:val="28"/>
        </w:rPr>
      </w:pPr>
    </w:p>
    <w:p>
      <w:pPr>
        <w:jc w:val="center"/>
        <w:rPr>
          <w:rFonts w:hint="eastAsia" w:ascii="宋体" w:eastAsia="宋体"/>
          <w:b/>
          <w:bCs/>
          <w:sz w:val="28"/>
          <w:szCs w:val="28"/>
          <w:lang w:eastAsia="zh-CN"/>
        </w:rPr>
      </w:pPr>
      <w:r>
        <w:rPr>
          <w:rFonts w:hint="eastAsia" w:ascii="宋体" w:hAnsi="宋体" w:cs="宋体"/>
          <w:b/>
          <w:bCs/>
          <w:sz w:val="28"/>
          <w:szCs w:val="28"/>
        </w:rPr>
        <w:t>采购人：</w:t>
      </w:r>
      <w:r>
        <w:rPr>
          <w:rFonts w:hint="eastAsia" w:ascii="宋体" w:hAnsi="宋体" w:cs="宋体"/>
          <w:b/>
          <w:bCs/>
          <w:sz w:val="28"/>
          <w:szCs w:val="28"/>
          <w:lang w:eastAsia="zh-CN"/>
        </w:rPr>
        <w:t>芜湖市急救中心</w:t>
      </w:r>
    </w:p>
    <w:p>
      <w:pPr>
        <w:jc w:val="center"/>
        <w:rPr>
          <w:rFonts w:ascii="宋体"/>
          <w:b/>
          <w:bCs/>
          <w:sz w:val="28"/>
          <w:szCs w:val="28"/>
        </w:rPr>
      </w:pPr>
      <w:r>
        <w:rPr>
          <w:rFonts w:hint="eastAsia" w:ascii="宋体" w:hAnsi="宋体" w:cs="宋体"/>
          <w:b/>
          <w:bCs/>
          <w:sz w:val="28"/>
          <w:szCs w:val="28"/>
        </w:rPr>
        <w:t>代理机构：安徽鼎信项目管理股份有限公司</w:t>
      </w:r>
    </w:p>
    <w:p>
      <w:pPr>
        <w:jc w:val="center"/>
        <w:rPr>
          <w:b/>
          <w:bCs/>
          <w:kern w:val="0"/>
          <w:sz w:val="44"/>
          <w:szCs w:val="44"/>
        </w:rPr>
      </w:pPr>
      <w:r>
        <w:rPr>
          <w:rFonts w:hint="eastAsia" w:ascii="宋体" w:hAnsi="宋体" w:cs="宋体"/>
          <w:b/>
          <w:bCs/>
          <w:sz w:val="28"/>
          <w:szCs w:val="28"/>
        </w:rPr>
        <w:t>采购时间：</w:t>
      </w:r>
      <w:r>
        <w:rPr>
          <w:rFonts w:hint="eastAsia" w:ascii="宋体" w:hAnsi="宋体" w:cs="宋体"/>
          <w:b/>
          <w:bCs/>
          <w:sz w:val="28"/>
          <w:szCs w:val="28"/>
          <w:lang w:eastAsia="zh-CN"/>
        </w:rPr>
        <w:t>2022年</w:t>
      </w:r>
      <w:r>
        <w:rPr>
          <w:rFonts w:hint="eastAsia" w:ascii="宋体" w:hAnsi="宋体" w:cs="宋体"/>
          <w:b/>
          <w:bCs/>
          <w:sz w:val="28"/>
          <w:szCs w:val="28"/>
          <w:lang w:val="en-US" w:eastAsia="zh-CN"/>
        </w:rPr>
        <w:t>7</w:t>
      </w:r>
      <w:r>
        <w:rPr>
          <w:rFonts w:hint="eastAsia" w:ascii="宋体" w:hAnsi="宋体" w:cs="宋体"/>
          <w:b/>
          <w:bCs/>
          <w:sz w:val="28"/>
          <w:szCs w:val="28"/>
        </w:rPr>
        <w:t>月</w:t>
      </w:r>
    </w:p>
    <w:p>
      <w:pPr>
        <w:spacing w:line="500" w:lineRule="exact"/>
        <w:jc w:val="center"/>
        <w:rPr>
          <w:rFonts w:ascii="宋体"/>
          <w:b/>
          <w:bCs/>
          <w:sz w:val="40"/>
          <w:szCs w:val="40"/>
        </w:rPr>
      </w:pPr>
      <w:r>
        <w:rPr>
          <w:spacing w:val="20"/>
          <w:kern w:val="0"/>
          <w:sz w:val="28"/>
          <w:szCs w:val="28"/>
        </w:rPr>
        <w:br w:type="page"/>
      </w:r>
      <w:r>
        <w:rPr>
          <w:rFonts w:hint="eastAsia" w:ascii="宋体" w:hAnsi="宋体" w:cs="宋体"/>
          <w:b/>
          <w:bCs/>
          <w:sz w:val="40"/>
          <w:szCs w:val="40"/>
        </w:rPr>
        <w:t>目录</w:t>
      </w:r>
    </w:p>
    <w:p>
      <w:pPr>
        <w:spacing w:line="500" w:lineRule="exact"/>
        <w:jc w:val="center"/>
        <w:rPr>
          <w:rFonts w:ascii="宋体"/>
          <w:b/>
          <w:bCs/>
          <w:sz w:val="40"/>
          <w:szCs w:val="40"/>
        </w:rPr>
      </w:pPr>
    </w:p>
    <w:p>
      <w:pPr>
        <w:snapToGrid w:val="0"/>
        <w:spacing w:line="360" w:lineRule="auto"/>
        <w:jc w:val="left"/>
        <w:rPr>
          <w:rFonts w:ascii="宋体"/>
          <w:b/>
          <w:bCs/>
          <w:sz w:val="24"/>
          <w:szCs w:val="24"/>
        </w:rPr>
      </w:pPr>
      <w:r>
        <w:fldChar w:fldCharType="begin"/>
      </w:r>
      <w:r>
        <w:instrText xml:space="preserve"> HYPERLINK \l "_Toc438648485" </w:instrText>
      </w:r>
      <w:r>
        <w:fldChar w:fldCharType="separate"/>
      </w:r>
      <w:r>
        <w:rPr>
          <w:rFonts w:hint="eastAsia" w:ascii="宋体" w:hAnsi="宋体" w:cs="宋体"/>
          <w:sz w:val="24"/>
          <w:szCs w:val="24"/>
        </w:rPr>
        <w:t>一、磋商邀请（磋商公告）</w:t>
      </w:r>
      <w:r>
        <w:rPr>
          <w:rFonts w:hint="eastAsia" w:ascii="宋体" w:hAnsi="宋体" w:cs="宋体"/>
          <w:sz w:val="24"/>
          <w:szCs w:val="24"/>
        </w:rPr>
        <w:fldChar w:fldCharType="end"/>
      </w:r>
    </w:p>
    <w:p>
      <w:pPr>
        <w:snapToGrid w:val="0"/>
        <w:spacing w:line="360" w:lineRule="auto"/>
        <w:jc w:val="left"/>
        <w:rPr>
          <w:rFonts w:ascii="宋体"/>
          <w:b/>
          <w:bCs/>
          <w:sz w:val="24"/>
          <w:szCs w:val="24"/>
        </w:rPr>
      </w:pPr>
      <w:r>
        <w:fldChar w:fldCharType="begin"/>
      </w:r>
      <w:r>
        <w:instrText xml:space="preserve"> HYPERLINK \l "_Toc438648486" </w:instrText>
      </w:r>
      <w:r>
        <w:fldChar w:fldCharType="separate"/>
      </w:r>
      <w:r>
        <w:rPr>
          <w:rFonts w:hint="eastAsia" w:ascii="宋体" w:hAnsi="宋体" w:cs="宋体"/>
          <w:sz w:val="24"/>
          <w:szCs w:val="24"/>
        </w:rPr>
        <w:t>二、投标供应商须知</w:t>
      </w:r>
      <w:r>
        <w:rPr>
          <w:rFonts w:ascii="宋体"/>
          <w:b/>
          <w:bCs/>
          <w:sz w:val="24"/>
          <w:szCs w:val="24"/>
        </w:rPr>
        <w:tab/>
      </w:r>
      <w:r>
        <w:rPr>
          <w:rFonts w:ascii="宋体"/>
          <w:b/>
          <w:bCs/>
          <w:sz w:val="24"/>
          <w:szCs w:val="24"/>
        </w:rPr>
        <w:fldChar w:fldCharType="end"/>
      </w:r>
    </w:p>
    <w:p>
      <w:pPr>
        <w:snapToGrid w:val="0"/>
        <w:spacing w:line="360" w:lineRule="auto"/>
        <w:rPr>
          <w:sz w:val="22"/>
          <w:szCs w:val="22"/>
        </w:rPr>
      </w:pPr>
      <w:r>
        <w:fldChar w:fldCharType="begin"/>
      </w:r>
      <w:r>
        <w:instrText xml:space="preserve"> HYPERLINK \l "_Toc438648490" </w:instrText>
      </w:r>
      <w:r>
        <w:fldChar w:fldCharType="separate"/>
      </w:r>
      <w:r>
        <w:rPr>
          <w:rFonts w:hint="eastAsia" w:ascii="宋体" w:hAnsi="宋体" w:cs="宋体"/>
          <w:b/>
          <w:bCs/>
          <w:sz w:val="22"/>
          <w:szCs w:val="22"/>
        </w:rPr>
        <w:t>（一）投标供应商须知前附表</w:t>
      </w:r>
      <w:r>
        <w:rPr>
          <w:rFonts w:ascii="宋体"/>
          <w:b/>
          <w:bCs/>
          <w:sz w:val="22"/>
          <w:szCs w:val="22"/>
        </w:rPr>
        <w:tab/>
      </w:r>
      <w:r>
        <w:rPr>
          <w:rFonts w:ascii="宋体"/>
          <w:b/>
          <w:bCs/>
          <w:sz w:val="22"/>
          <w:szCs w:val="22"/>
        </w:rPr>
        <w:fldChar w:fldCharType="end"/>
      </w:r>
    </w:p>
    <w:p>
      <w:pPr>
        <w:snapToGrid w:val="0"/>
        <w:spacing w:line="360" w:lineRule="auto"/>
        <w:jc w:val="left"/>
        <w:rPr>
          <w:rFonts w:ascii="宋体"/>
          <w:b/>
          <w:bCs/>
          <w:sz w:val="22"/>
          <w:szCs w:val="22"/>
        </w:rPr>
      </w:pPr>
      <w:r>
        <w:rPr>
          <w:rFonts w:hint="eastAsia" w:ascii="宋体" w:hAnsi="宋体" w:cs="宋体"/>
          <w:b/>
          <w:bCs/>
          <w:sz w:val="22"/>
          <w:szCs w:val="22"/>
        </w:rPr>
        <w:t>（二）投标供应商须知</w:t>
      </w:r>
    </w:p>
    <w:p>
      <w:pPr>
        <w:snapToGrid w:val="0"/>
        <w:spacing w:line="360" w:lineRule="auto"/>
        <w:jc w:val="left"/>
        <w:rPr>
          <w:rFonts w:ascii="宋体"/>
          <w:b/>
          <w:bCs/>
          <w:sz w:val="24"/>
          <w:szCs w:val="24"/>
        </w:rPr>
      </w:pPr>
      <w:r>
        <w:fldChar w:fldCharType="begin"/>
      </w:r>
      <w:r>
        <w:instrText xml:space="preserve"> HYPERLINK \l "_Toc438648487" </w:instrText>
      </w:r>
      <w:r>
        <w:fldChar w:fldCharType="separate"/>
      </w:r>
      <w:r>
        <w:rPr>
          <w:rFonts w:hint="eastAsia" w:ascii="宋体" w:hAnsi="宋体" w:cs="宋体"/>
          <w:sz w:val="24"/>
          <w:szCs w:val="24"/>
        </w:rPr>
        <w:t>三、</w:t>
      </w:r>
      <w:r>
        <w:rPr>
          <w:rFonts w:hint="eastAsia" w:ascii="宋体" w:hAnsi="宋体" w:cs="宋体"/>
          <w:sz w:val="24"/>
          <w:szCs w:val="24"/>
        </w:rPr>
        <w:fldChar w:fldCharType="end"/>
      </w:r>
      <w:r>
        <w:rPr>
          <w:rFonts w:hint="eastAsia" w:ascii="宋体" w:hAnsi="宋体" w:cs="宋体"/>
          <w:sz w:val="24"/>
          <w:szCs w:val="24"/>
        </w:rPr>
        <w:t>采购需求</w:t>
      </w:r>
    </w:p>
    <w:p>
      <w:pPr>
        <w:snapToGrid w:val="0"/>
        <w:spacing w:line="360" w:lineRule="auto"/>
        <w:jc w:val="left"/>
        <w:rPr>
          <w:rFonts w:ascii="宋体"/>
          <w:b/>
          <w:bCs/>
          <w:sz w:val="24"/>
          <w:szCs w:val="24"/>
        </w:rPr>
      </w:pPr>
      <w:r>
        <w:rPr>
          <w:rFonts w:hint="eastAsia" w:ascii="宋体" w:hAnsi="宋体" w:cs="宋体"/>
          <w:sz w:val="24"/>
          <w:szCs w:val="24"/>
        </w:rPr>
        <w:t>四、</w:t>
      </w:r>
      <w:r>
        <w:fldChar w:fldCharType="begin"/>
      </w:r>
      <w:r>
        <w:instrText xml:space="preserve"> HYPERLINK \l "_Toc438648496" </w:instrText>
      </w:r>
      <w:r>
        <w:fldChar w:fldCharType="separate"/>
      </w:r>
      <w:r>
        <w:rPr>
          <w:rFonts w:hint="eastAsia" w:ascii="宋体" w:hAnsi="宋体" w:cs="宋体"/>
          <w:sz w:val="24"/>
          <w:szCs w:val="24"/>
        </w:rPr>
        <w:t>评分办法</w:t>
      </w:r>
      <w:r>
        <w:rPr>
          <w:rFonts w:hint="eastAsia" w:ascii="宋体" w:hAnsi="宋体" w:cs="宋体"/>
          <w:sz w:val="24"/>
          <w:szCs w:val="24"/>
        </w:rPr>
        <w:fldChar w:fldCharType="end"/>
      </w:r>
    </w:p>
    <w:p>
      <w:pPr>
        <w:snapToGrid w:val="0"/>
        <w:spacing w:line="360" w:lineRule="auto"/>
        <w:jc w:val="left"/>
        <w:rPr>
          <w:rFonts w:ascii="宋体"/>
          <w:sz w:val="24"/>
          <w:szCs w:val="24"/>
        </w:rPr>
      </w:pPr>
      <w:r>
        <w:rPr>
          <w:rFonts w:hint="eastAsia" w:ascii="宋体" w:hAnsi="宋体" w:cs="宋体"/>
          <w:sz w:val="24"/>
          <w:szCs w:val="24"/>
        </w:rPr>
        <w:t>五、响应文件格式</w:t>
      </w:r>
    </w:p>
    <w:p>
      <w:pPr>
        <w:snapToGrid w:val="0"/>
        <w:spacing w:line="360" w:lineRule="auto"/>
        <w:jc w:val="left"/>
        <w:rPr>
          <w:rFonts w:ascii="宋体"/>
          <w:sz w:val="24"/>
          <w:szCs w:val="24"/>
        </w:rPr>
      </w:pPr>
      <w:r>
        <w:fldChar w:fldCharType="begin"/>
      </w:r>
      <w:r>
        <w:instrText xml:space="preserve"> HYPERLINK \l "_Toc438648498" </w:instrText>
      </w:r>
      <w:r>
        <w:fldChar w:fldCharType="separate"/>
      </w:r>
      <w:r>
        <w:rPr>
          <w:rFonts w:ascii="宋体"/>
          <w:sz w:val="24"/>
          <w:szCs w:val="24"/>
        </w:rPr>
        <w:tab/>
      </w:r>
      <w:r>
        <w:rPr>
          <w:rFonts w:ascii="宋体"/>
          <w:sz w:val="24"/>
          <w:szCs w:val="24"/>
        </w:rPr>
        <w:fldChar w:fldCharType="end"/>
      </w:r>
    </w:p>
    <w:p>
      <w:pPr>
        <w:widowControl/>
        <w:shd w:val="clear" w:color="auto" w:fill="FFFFFF"/>
        <w:spacing w:before="156" w:beforeLines="50" w:after="156" w:afterLines="50" w:line="360" w:lineRule="atLeast"/>
        <w:jc w:val="center"/>
        <w:outlineLvl w:val="0"/>
        <w:rPr>
          <w:rFonts w:hint="eastAsia" w:ascii="宋体" w:hAnsi="宋体" w:eastAsia="宋体" w:cs="宋体"/>
          <w:b/>
          <w:bCs/>
          <w:kern w:val="36"/>
          <w:sz w:val="24"/>
          <w:szCs w:val="24"/>
        </w:rPr>
      </w:pPr>
      <w:r>
        <w:rPr>
          <w:rFonts w:eastAsia="黑体"/>
          <w:sz w:val="28"/>
          <w:szCs w:val="28"/>
        </w:rPr>
        <w:br w:type="page"/>
      </w:r>
      <w:bookmarkStart w:id="0" w:name="_Hlk22209474"/>
      <w:bookmarkStart w:id="1" w:name="_Hlk57013079"/>
      <w:r>
        <w:rPr>
          <w:rFonts w:hint="eastAsia" w:ascii="宋体" w:hAnsi="宋体" w:eastAsia="宋体" w:cs="宋体"/>
          <w:b/>
          <w:bCs/>
          <w:kern w:val="36"/>
          <w:sz w:val="24"/>
          <w:szCs w:val="24"/>
          <w:lang w:eastAsia="zh-CN"/>
        </w:rPr>
        <w:t>芜湖市院前急救体系能力提升120急救终端设备建设采购监理项目</w:t>
      </w:r>
      <w:r>
        <w:rPr>
          <w:rFonts w:hint="eastAsia" w:ascii="宋体" w:hAnsi="宋体" w:eastAsia="宋体" w:cs="宋体"/>
          <w:b/>
          <w:bCs/>
          <w:kern w:val="36"/>
          <w:sz w:val="24"/>
          <w:szCs w:val="24"/>
        </w:rPr>
        <w:t>竞争性磋商公告</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shd w:val="clear" w:color="auto" w:fill="auto"/>
          </w:tcPr>
          <w:p>
            <w:pPr>
              <w:widowControl/>
              <w:shd w:val="clear" w:color="auto" w:fill="FFFFFF"/>
              <w:spacing w:line="560" w:lineRule="exact"/>
              <w:ind w:firstLine="640"/>
              <w:rPr>
                <w:rFonts w:ascii="宋体" w:hAnsi="宋体" w:cs="宋体"/>
                <w:color w:val="000000"/>
                <w:kern w:val="0"/>
                <w:sz w:val="24"/>
                <w:szCs w:val="24"/>
              </w:rPr>
            </w:pPr>
            <w:r>
              <w:rPr>
                <w:rFonts w:hint="eastAsia" w:ascii="宋体" w:hAnsi="宋体" w:cs="宋体"/>
                <w:color w:val="000000"/>
                <w:kern w:val="0"/>
                <w:sz w:val="24"/>
                <w:szCs w:val="24"/>
              </w:rPr>
              <w:t>项目概况</w:t>
            </w:r>
          </w:p>
          <w:p>
            <w:pPr>
              <w:widowControl/>
              <w:shd w:val="clear" w:color="auto" w:fill="FFFFFF"/>
              <w:spacing w:line="560" w:lineRule="exact"/>
              <w:ind w:firstLine="640"/>
              <w:rPr>
                <w:rFonts w:ascii="宋体" w:hAnsi="宋体" w:cs="宋体"/>
                <w:color w:val="000000"/>
                <w:kern w:val="0"/>
                <w:sz w:val="24"/>
                <w:szCs w:val="24"/>
              </w:rPr>
            </w:pPr>
            <w:r>
              <w:rPr>
                <w:rFonts w:hint="eastAsia" w:ascii="宋体" w:hAnsi="宋体" w:cs="宋体"/>
                <w:color w:val="000000"/>
                <w:kern w:val="0"/>
                <w:sz w:val="24"/>
                <w:szCs w:val="24"/>
                <w:lang w:eastAsia="zh-CN"/>
              </w:rPr>
              <w:t>芜湖市院前急救体系能力提升120急救终端设备建设采购监理项目</w:t>
            </w:r>
            <w:r>
              <w:rPr>
                <w:rFonts w:hint="eastAsia" w:ascii="宋体" w:hAnsi="宋体" w:cs="宋体"/>
                <w:color w:val="000000"/>
                <w:kern w:val="0"/>
                <w:sz w:val="24"/>
                <w:szCs w:val="24"/>
              </w:rPr>
              <w:t>的潜在投标人应在</w:t>
            </w:r>
            <w:r>
              <w:rPr>
                <w:rFonts w:hint="eastAsia" w:ascii="宋体" w:hAnsi="宋体" w:cs="宋体"/>
                <w:color w:val="000000"/>
                <w:kern w:val="0"/>
                <w:sz w:val="24"/>
                <w:szCs w:val="24"/>
                <w:lang w:val="en-US" w:eastAsia="zh-CN"/>
              </w:rPr>
              <w:t>安徽鼎信项目管理股份有限公司</w:t>
            </w:r>
            <w:r>
              <w:rPr>
                <w:rFonts w:hint="eastAsia" w:ascii="宋体" w:hAnsi="宋体" w:cs="宋体"/>
                <w:color w:val="000000"/>
                <w:kern w:val="0"/>
                <w:sz w:val="24"/>
                <w:szCs w:val="24"/>
              </w:rPr>
              <w:t>获取采购文件，并于</w:t>
            </w:r>
            <w:r>
              <w:rPr>
                <w:rFonts w:hint="eastAsia" w:ascii="宋体" w:hAnsi="宋体" w:cs="宋体"/>
                <w:color w:val="000000"/>
                <w:kern w:val="0"/>
                <w:sz w:val="24"/>
                <w:szCs w:val="24"/>
                <w:lang w:eastAsia="zh-CN"/>
              </w:rPr>
              <w:t>2022年7月22日15点00分</w:t>
            </w:r>
            <w:r>
              <w:rPr>
                <w:rFonts w:hint="eastAsia" w:ascii="宋体" w:hAnsi="宋体" w:cs="宋体"/>
                <w:color w:val="000000"/>
                <w:kern w:val="0"/>
                <w:sz w:val="24"/>
                <w:szCs w:val="24"/>
              </w:rPr>
              <w:t>（北京时间）前递交响应文件。</w:t>
            </w:r>
          </w:p>
        </w:tc>
      </w:tr>
    </w:tbl>
    <w:p>
      <w:pPr>
        <w:widowControl/>
        <w:shd w:val="clear" w:color="auto" w:fill="FFFFFF"/>
        <w:spacing w:line="560" w:lineRule="exact"/>
        <w:ind w:firstLine="643"/>
        <w:rPr>
          <w:rFonts w:ascii="宋体"/>
          <w:color w:val="000000"/>
          <w:kern w:val="0"/>
          <w:sz w:val="24"/>
          <w:szCs w:val="24"/>
        </w:rPr>
      </w:pPr>
      <w:r>
        <w:rPr>
          <w:rFonts w:hint="eastAsia" w:ascii="宋体" w:hAnsi="宋体" w:cs="宋体"/>
          <w:b/>
          <w:bCs/>
          <w:color w:val="000000"/>
          <w:kern w:val="0"/>
          <w:sz w:val="24"/>
          <w:szCs w:val="24"/>
        </w:rPr>
        <w:t>一、项目名称及内容</w:t>
      </w:r>
    </w:p>
    <w:p>
      <w:pPr>
        <w:widowControl/>
        <w:shd w:val="clear" w:color="auto" w:fill="FFFFFF"/>
        <w:spacing w:line="560" w:lineRule="exact"/>
        <w:ind w:firstLine="640"/>
        <w:rPr>
          <w:rFonts w:ascii="宋体"/>
          <w:color w:val="000000"/>
          <w:kern w:val="0"/>
          <w:sz w:val="24"/>
          <w:szCs w:val="24"/>
        </w:rPr>
      </w:pPr>
      <w:r>
        <w:rPr>
          <w:rFonts w:hint="eastAsia" w:ascii="宋体" w:hAnsi="宋体" w:cs="宋体"/>
          <w:color w:val="000000"/>
          <w:kern w:val="0"/>
          <w:sz w:val="24"/>
          <w:szCs w:val="24"/>
        </w:rPr>
        <w:t>项目编号：</w:t>
      </w:r>
      <w:r>
        <w:rPr>
          <w:rFonts w:hint="eastAsia" w:ascii="宋体" w:hAnsi="宋体" w:cs="宋体"/>
          <w:color w:val="000000"/>
          <w:kern w:val="0"/>
          <w:sz w:val="24"/>
          <w:szCs w:val="24"/>
          <w:lang w:eastAsia="zh-CN"/>
        </w:rPr>
        <w:t>ZB202207625</w:t>
      </w:r>
      <w:r>
        <w:rPr>
          <w:rFonts w:ascii="宋体" w:hAnsi="宋体" w:cs="宋体"/>
          <w:color w:val="000000"/>
          <w:kern w:val="0"/>
          <w:sz w:val="24"/>
          <w:szCs w:val="24"/>
        </w:rPr>
        <w:t xml:space="preserve">                   </w:t>
      </w:r>
    </w:p>
    <w:p>
      <w:pPr>
        <w:widowControl/>
        <w:shd w:val="clear" w:color="auto" w:fill="FFFFFF"/>
        <w:spacing w:line="560" w:lineRule="exact"/>
        <w:ind w:firstLine="640"/>
        <w:rPr>
          <w:rFonts w:ascii="宋体" w:hAnsi="宋体" w:cs="宋体"/>
          <w:color w:val="000000"/>
          <w:kern w:val="0"/>
          <w:sz w:val="24"/>
          <w:szCs w:val="24"/>
        </w:rPr>
      </w:pPr>
      <w:r>
        <w:rPr>
          <w:rFonts w:hint="eastAsia" w:ascii="宋体" w:hAnsi="宋体" w:cs="宋体"/>
          <w:color w:val="000000"/>
          <w:kern w:val="0"/>
          <w:sz w:val="24"/>
          <w:szCs w:val="24"/>
        </w:rPr>
        <w:t>项目名称：</w:t>
      </w:r>
      <w:r>
        <w:rPr>
          <w:rFonts w:hint="eastAsia" w:ascii="宋体" w:hAnsi="宋体" w:cs="宋体"/>
          <w:color w:val="000000"/>
          <w:kern w:val="0"/>
          <w:sz w:val="24"/>
          <w:szCs w:val="24"/>
          <w:lang w:eastAsia="zh-CN"/>
        </w:rPr>
        <w:t>芜湖市院前急救体系能力提升120急救终端设备建设采购监理项目</w:t>
      </w:r>
      <w:r>
        <w:rPr>
          <w:rFonts w:ascii="宋体" w:hAnsi="宋体" w:cs="宋体"/>
          <w:color w:val="000000"/>
          <w:kern w:val="0"/>
          <w:sz w:val="24"/>
          <w:szCs w:val="24"/>
        </w:rPr>
        <w:t xml:space="preserve">     </w:t>
      </w:r>
    </w:p>
    <w:p>
      <w:pPr>
        <w:widowControl/>
        <w:shd w:val="clear" w:color="auto" w:fill="FFFFFF"/>
        <w:spacing w:line="560" w:lineRule="exact"/>
        <w:ind w:firstLine="640"/>
        <w:rPr>
          <w:rFonts w:ascii="宋体" w:hAnsi="宋体" w:cs="宋体"/>
          <w:color w:val="000000"/>
          <w:kern w:val="0"/>
          <w:sz w:val="24"/>
          <w:szCs w:val="24"/>
        </w:rPr>
      </w:pPr>
      <w:r>
        <w:rPr>
          <w:rFonts w:hint="eastAsia" w:ascii="宋体" w:hAnsi="宋体" w:cs="宋体"/>
          <w:color w:val="000000"/>
          <w:kern w:val="0"/>
          <w:sz w:val="24"/>
          <w:szCs w:val="24"/>
        </w:rPr>
        <w:t xml:space="preserve">采购方式：竞争性磋商 </w:t>
      </w:r>
    </w:p>
    <w:p>
      <w:pPr>
        <w:widowControl/>
        <w:shd w:val="clear" w:color="auto" w:fill="FFFFFF"/>
        <w:spacing w:line="560" w:lineRule="exact"/>
        <w:ind w:firstLine="640"/>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预算金额：</w:t>
      </w:r>
      <w:r>
        <w:rPr>
          <w:rFonts w:hint="eastAsia" w:ascii="宋体" w:hAnsi="宋体" w:cs="宋体"/>
          <w:color w:val="000000"/>
          <w:kern w:val="0"/>
          <w:sz w:val="24"/>
          <w:szCs w:val="24"/>
          <w:lang w:val="en-US" w:eastAsia="zh-CN"/>
        </w:rPr>
        <w:t>10万元</w:t>
      </w:r>
    </w:p>
    <w:p>
      <w:pPr>
        <w:widowControl/>
        <w:shd w:val="clear" w:color="auto" w:fill="FFFFFF"/>
        <w:spacing w:line="560" w:lineRule="exact"/>
        <w:ind w:firstLine="640"/>
        <w:rPr>
          <w:rFonts w:hint="eastAsia" w:ascii="宋体" w:hAnsi="宋体" w:cs="宋体"/>
          <w:color w:val="000000"/>
          <w:kern w:val="0"/>
          <w:sz w:val="24"/>
          <w:szCs w:val="24"/>
        </w:rPr>
      </w:pPr>
      <w:r>
        <w:rPr>
          <w:rFonts w:hint="eastAsia" w:ascii="宋体" w:hAnsi="宋体" w:cs="宋体"/>
          <w:color w:val="000000"/>
          <w:kern w:val="0"/>
          <w:sz w:val="24"/>
          <w:szCs w:val="24"/>
        </w:rPr>
        <w:t>最高限价：</w:t>
      </w:r>
      <w:r>
        <w:rPr>
          <w:rFonts w:hint="eastAsia" w:ascii="宋体" w:hAnsi="宋体" w:cs="宋体"/>
          <w:color w:val="000000"/>
          <w:kern w:val="0"/>
          <w:sz w:val="24"/>
          <w:szCs w:val="24"/>
          <w:lang w:val="en-US" w:eastAsia="zh-CN"/>
        </w:rPr>
        <w:t>10万元</w:t>
      </w:r>
    </w:p>
    <w:p>
      <w:pPr>
        <w:widowControl/>
        <w:shd w:val="clear" w:color="auto" w:fill="FFFFFF"/>
        <w:spacing w:line="560" w:lineRule="exact"/>
        <w:ind w:firstLine="640"/>
        <w:rPr>
          <w:rFonts w:ascii="宋体" w:hAnsi="宋体" w:cs="宋体"/>
          <w:color w:val="000000"/>
          <w:kern w:val="0"/>
          <w:sz w:val="24"/>
          <w:szCs w:val="24"/>
        </w:rPr>
      </w:pPr>
      <w:r>
        <w:rPr>
          <w:rFonts w:hint="eastAsia" w:ascii="宋体" w:hAnsi="宋体" w:cs="宋体"/>
          <w:color w:val="000000"/>
          <w:kern w:val="0"/>
          <w:sz w:val="24"/>
          <w:szCs w:val="24"/>
        </w:rPr>
        <w:t>采购需求：芜湖市院前急救体系能力提升120急救终端设备建设采购监理项目</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具体要求详见磋商文件。</w:t>
      </w:r>
      <w:r>
        <w:rPr>
          <w:rFonts w:ascii="宋体" w:hAnsi="宋体" w:cs="宋体"/>
          <w:color w:val="000000"/>
          <w:kern w:val="0"/>
          <w:sz w:val="24"/>
          <w:szCs w:val="24"/>
        </w:rPr>
        <w:t xml:space="preserve"> </w:t>
      </w:r>
    </w:p>
    <w:p>
      <w:pPr>
        <w:widowControl/>
        <w:shd w:val="clear" w:color="auto" w:fill="FFFFFF"/>
        <w:spacing w:line="560" w:lineRule="exact"/>
        <w:ind w:firstLine="640"/>
        <w:rPr>
          <w:rFonts w:hint="eastAsia" w:ascii="宋体" w:hAnsi="宋体" w:cs="宋体"/>
          <w:color w:val="000000"/>
          <w:kern w:val="0"/>
          <w:sz w:val="24"/>
          <w:szCs w:val="24"/>
          <w:lang w:val="en-US" w:eastAsia="zh-CN"/>
        </w:rPr>
      </w:pPr>
      <w:r>
        <w:rPr>
          <w:rFonts w:hint="eastAsia" w:ascii="宋体" w:hAnsi="宋体" w:cs="宋体"/>
          <w:color w:val="000000"/>
          <w:kern w:val="0"/>
          <w:sz w:val="24"/>
          <w:szCs w:val="24"/>
        </w:rPr>
        <w:t>合同履行期限：</w:t>
      </w:r>
      <w:r>
        <w:rPr>
          <w:rFonts w:hint="eastAsia" w:ascii="宋体" w:hAnsi="宋体" w:cs="宋体"/>
          <w:color w:val="000000"/>
          <w:kern w:val="0"/>
          <w:sz w:val="24"/>
          <w:szCs w:val="24"/>
          <w:lang w:val="en-US" w:eastAsia="zh-CN"/>
        </w:rPr>
        <w:t>240个日历天</w:t>
      </w:r>
    </w:p>
    <w:p>
      <w:pPr>
        <w:widowControl/>
        <w:shd w:val="clear" w:color="auto" w:fill="FFFFFF"/>
        <w:spacing w:line="560" w:lineRule="exact"/>
        <w:ind w:firstLine="640"/>
        <w:rPr>
          <w:rFonts w:ascii="宋体" w:hAnsi="宋体" w:cs="宋体"/>
          <w:color w:val="000000"/>
          <w:kern w:val="0"/>
          <w:sz w:val="24"/>
          <w:szCs w:val="24"/>
        </w:rPr>
      </w:pPr>
      <w:r>
        <w:rPr>
          <w:rFonts w:hint="eastAsia" w:ascii="宋体" w:hAnsi="宋体" w:cs="宋体"/>
          <w:color w:val="000000"/>
          <w:kern w:val="0"/>
          <w:sz w:val="24"/>
          <w:szCs w:val="24"/>
        </w:rPr>
        <w:t>本项目不接受联合体。</w:t>
      </w:r>
    </w:p>
    <w:p>
      <w:pPr>
        <w:widowControl/>
        <w:shd w:val="clear" w:color="auto" w:fill="FFFFFF"/>
        <w:spacing w:line="560" w:lineRule="exact"/>
        <w:ind w:firstLine="643"/>
        <w:rPr>
          <w:rFonts w:ascii="宋体"/>
          <w:b/>
          <w:bCs/>
          <w:color w:val="000000"/>
          <w:kern w:val="0"/>
          <w:sz w:val="24"/>
          <w:szCs w:val="24"/>
        </w:rPr>
      </w:pPr>
      <w:r>
        <w:rPr>
          <w:rFonts w:hint="eastAsia" w:ascii="宋体" w:hAnsi="宋体" w:cs="宋体"/>
          <w:b/>
          <w:bCs/>
          <w:color w:val="000000"/>
          <w:kern w:val="0"/>
          <w:sz w:val="24"/>
          <w:szCs w:val="24"/>
        </w:rPr>
        <w:t>二、申请人的资格要求：</w:t>
      </w:r>
    </w:p>
    <w:p>
      <w:pPr>
        <w:widowControl/>
        <w:shd w:val="clear" w:color="auto" w:fill="FFFFFF"/>
        <w:spacing w:line="555" w:lineRule="atLeast"/>
        <w:ind w:firstLine="645"/>
        <w:jc w:val="left"/>
        <w:rPr>
          <w:rFonts w:ascii="宋体" w:hAnsi="宋体" w:cs="宋体"/>
          <w:color w:val="000000"/>
          <w:kern w:val="0"/>
          <w:sz w:val="24"/>
          <w:szCs w:val="24"/>
        </w:rPr>
      </w:pPr>
      <w:r>
        <w:rPr>
          <w:rFonts w:hint="eastAsia" w:ascii="宋体" w:hAnsi="宋体" w:cs="宋体"/>
          <w:color w:val="000000"/>
          <w:kern w:val="0"/>
          <w:sz w:val="24"/>
          <w:szCs w:val="24"/>
        </w:rPr>
        <w:t>1.满足《中华人民共和国政府采购法》第二十二条规定。</w:t>
      </w:r>
    </w:p>
    <w:p>
      <w:pPr>
        <w:widowControl/>
        <w:shd w:val="clear" w:color="auto" w:fill="FFFFFF"/>
        <w:spacing w:line="555" w:lineRule="atLeast"/>
        <w:ind w:firstLine="645"/>
        <w:jc w:val="left"/>
        <w:rPr>
          <w:rFonts w:ascii="宋体" w:hAnsi="宋体" w:cs="宋体"/>
          <w:color w:val="000000"/>
          <w:kern w:val="0"/>
          <w:sz w:val="24"/>
          <w:szCs w:val="24"/>
        </w:rPr>
      </w:pPr>
      <w:r>
        <w:rPr>
          <w:rFonts w:hint="eastAsia" w:ascii="宋体" w:hAnsi="宋体" w:cs="宋体"/>
          <w:color w:val="000000"/>
          <w:kern w:val="0"/>
          <w:sz w:val="24"/>
          <w:szCs w:val="24"/>
        </w:rPr>
        <w:t>2.落实政府采购政策需满足的资格要求：无。</w:t>
      </w:r>
    </w:p>
    <w:p>
      <w:pPr>
        <w:widowControl/>
        <w:shd w:val="clear" w:color="auto" w:fill="FFFFFF"/>
        <w:spacing w:line="555" w:lineRule="atLeast"/>
        <w:ind w:firstLine="645"/>
        <w:jc w:val="left"/>
        <w:rPr>
          <w:rFonts w:ascii="宋体" w:hAnsi="宋体" w:cs="宋体"/>
          <w:color w:val="000000"/>
          <w:kern w:val="0"/>
          <w:sz w:val="24"/>
          <w:szCs w:val="24"/>
        </w:rPr>
      </w:pPr>
      <w:r>
        <w:rPr>
          <w:rFonts w:hint="eastAsia" w:ascii="宋体" w:hAnsi="宋体" w:cs="宋体"/>
          <w:color w:val="000000"/>
          <w:kern w:val="0"/>
          <w:sz w:val="24"/>
          <w:szCs w:val="24"/>
        </w:rPr>
        <w:t>3.本项目的特定资格要求：</w:t>
      </w:r>
    </w:p>
    <w:p>
      <w:pPr>
        <w:widowControl/>
        <w:shd w:val="clear" w:color="auto" w:fill="FFFFFF"/>
        <w:spacing w:line="555" w:lineRule="atLeast"/>
        <w:ind w:firstLine="645"/>
        <w:jc w:val="left"/>
        <w:rPr>
          <w:rFonts w:ascii="宋体" w:hAnsi="宋体" w:cs="宋体"/>
          <w:color w:val="000000"/>
          <w:kern w:val="0"/>
          <w:sz w:val="24"/>
          <w:szCs w:val="24"/>
        </w:rPr>
      </w:pPr>
      <w:r>
        <w:rPr>
          <w:rFonts w:hint="eastAsia" w:ascii="宋体" w:hAnsi="宋体" w:cs="宋体"/>
          <w:color w:val="000000"/>
          <w:kern w:val="0"/>
          <w:sz w:val="24"/>
          <w:szCs w:val="24"/>
        </w:rPr>
        <w:t>3.1供应商存在以下不良信用记录情形之一的，不得推荐为成交候选供应商，不得确定为成交供应商：</w:t>
      </w:r>
    </w:p>
    <w:p>
      <w:pPr>
        <w:widowControl/>
        <w:shd w:val="clear" w:color="auto" w:fill="FFFFFF"/>
        <w:spacing w:line="555" w:lineRule="atLeast"/>
        <w:ind w:firstLine="645"/>
        <w:jc w:val="left"/>
        <w:rPr>
          <w:rFonts w:ascii="宋体" w:hAnsi="宋体" w:cs="宋体"/>
          <w:color w:val="000000"/>
          <w:kern w:val="0"/>
          <w:sz w:val="24"/>
          <w:szCs w:val="24"/>
        </w:rPr>
      </w:pPr>
      <w:r>
        <w:rPr>
          <w:rFonts w:hint="eastAsia" w:ascii="宋体" w:hAnsi="宋体" w:cs="宋体"/>
          <w:color w:val="000000"/>
          <w:kern w:val="0"/>
          <w:sz w:val="24"/>
          <w:szCs w:val="24"/>
        </w:rPr>
        <w:t>（1）供应商被人民法院列入失信被执行人的；</w:t>
      </w:r>
    </w:p>
    <w:p>
      <w:pPr>
        <w:widowControl/>
        <w:shd w:val="clear" w:color="auto" w:fill="FFFFFF"/>
        <w:spacing w:line="555" w:lineRule="atLeast"/>
        <w:ind w:firstLine="645"/>
        <w:jc w:val="left"/>
        <w:rPr>
          <w:rFonts w:ascii="宋体" w:hAnsi="宋体" w:cs="宋体"/>
          <w:color w:val="000000"/>
          <w:kern w:val="0"/>
          <w:sz w:val="24"/>
          <w:szCs w:val="24"/>
        </w:rPr>
      </w:pPr>
      <w:r>
        <w:rPr>
          <w:rFonts w:hint="eastAsia" w:ascii="宋体" w:hAnsi="宋体" w:cs="宋体"/>
          <w:color w:val="000000"/>
          <w:kern w:val="0"/>
          <w:sz w:val="24"/>
          <w:szCs w:val="24"/>
        </w:rPr>
        <w:t>（2）供应商被工商行政管理部门列入企业经营异常名录的；</w:t>
      </w:r>
    </w:p>
    <w:p>
      <w:pPr>
        <w:widowControl/>
        <w:shd w:val="clear" w:color="auto" w:fill="FFFFFF"/>
        <w:spacing w:line="555" w:lineRule="atLeast"/>
        <w:ind w:firstLine="645"/>
        <w:jc w:val="left"/>
        <w:rPr>
          <w:rFonts w:ascii="宋体" w:hAnsi="宋体" w:cs="宋体"/>
          <w:color w:val="000000"/>
          <w:kern w:val="0"/>
          <w:sz w:val="24"/>
          <w:szCs w:val="24"/>
        </w:rPr>
      </w:pPr>
      <w:r>
        <w:rPr>
          <w:rFonts w:hint="eastAsia" w:ascii="宋体" w:hAnsi="宋体" w:cs="宋体"/>
          <w:color w:val="000000"/>
          <w:kern w:val="0"/>
          <w:sz w:val="24"/>
          <w:szCs w:val="24"/>
        </w:rPr>
        <w:t>（3）供应商被税务部门列入重大税收违法案件当事人名单的；</w:t>
      </w:r>
    </w:p>
    <w:p>
      <w:pPr>
        <w:widowControl/>
        <w:shd w:val="clear" w:color="auto" w:fill="FFFFFF"/>
        <w:spacing w:line="555" w:lineRule="atLeast"/>
        <w:ind w:firstLine="645"/>
        <w:jc w:val="left"/>
        <w:rPr>
          <w:rFonts w:ascii="宋体" w:hAnsi="宋体" w:cs="宋体"/>
          <w:color w:val="000000"/>
          <w:kern w:val="0"/>
          <w:sz w:val="24"/>
          <w:szCs w:val="24"/>
        </w:rPr>
      </w:pPr>
      <w:r>
        <w:rPr>
          <w:rFonts w:hint="eastAsia" w:ascii="宋体" w:hAnsi="宋体" w:cs="宋体"/>
          <w:color w:val="000000"/>
          <w:kern w:val="0"/>
          <w:sz w:val="24"/>
          <w:szCs w:val="24"/>
        </w:rPr>
        <w:t>（4）供应商被政府采购监管部门列入政府采购严重违法失信行为记录名单的。</w:t>
      </w:r>
    </w:p>
    <w:p>
      <w:pPr>
        <w:widowControl/>
        <w:shd w:val="clear" w:color="auto" w:fill="FFFFFF"/>
        <w:spacing w:line="555" w:lineRule="atLeast"/>
        <w:ind w:firstLine="645"/>
        <w:jc w:val="left"/>
        <w:rPr>
          <w:rFonts w:ascii="宋体" w:hAnsi="宋体" w:cs="宋体"/>
          <w:color w:val="000000"/>
          <w:kern w:val="0"/>
          <w:sz w:val="28"/>
          <w:szCs w:val="28"/>
        </w:rPr>
      </w:pPr>
      <w:r>
        <w:rPr>
          <w:rFonts w:hint="eastAsia" w:ascii="宋体" w:hAnsi="宋体" w:cs="宋体"/>
          <w:color w:val="000000"/>
          <w:kern w:val="0"/>
          <w:sz w:val="24"/>
          <w:szCs w:val="24"/>
        </w:rPr>
        <w:t>3.2投标人必须是独立法人企业。</w:t>
      </w:r>
      <w:r>
        <w:rPr>
          <w:rFonts w:hint="eastAsia" w:ascii="宋体" w:hAnsi="宋体" w:cs="宋体"/>
          <w:color w:val="000000"/>
          <w:kern w:val="0"/>
          <w:sz w:val="28"/>
          <w:szCs w:val="28"/>
        </w:rPr>
        <w:t xml:space="preserve">        </w:t>
      </w:r>
    </w:p>
    <w:p>
      <w:pPr>
        <w:widowControl/>
        <w:shd w:val="clear" w:color="auto" w:fill="FFFFFF"/>
        <w:spacing w:line="560" w:lineRule="exact"/>
        <w:ind w:firstLine="643"/>
        <w:rPr>
          <w:rFonts w:ascii="宋体"/>
          <w:b/>
          <w:bCs/>
          <w:color w:val="000000"/>
          <w:kern w:val="0"/>
          <w:sz w:val="24"/>
          <w:szCs w:val="24"/>
        </w:rPr>
      </w:pPr>
      <w:r>
        <w:rPr>
          <w:rFonts w:hint="eastAsia" w:ascii="宋体" w:hAnsi="宋体" w:cs="宋体"/>
          <w:b/>
          <w:bCs/>
          <w:color w:val="000000"/>
          <w:kern w:val="0"/>
          <w:sz w:val="24"/>
          <w:szCs w:val="24"/>
        </w:rPr>
        <w:t>三、获取采购文件</w:t>
      </w:r>
    </w:p>
    <w:p>
      <w:pPr>
        <w:widowControl/>
        <w:shd w:val="clear" w:color="auto" w:fill="FFFFFF"/>
        <w:spacing w:line="560" w:lineRule="exact"/>
        <w:ind w:firstLine="643"/>
        <w:rPr>
          <w:rFonts w:ascii="宋体" w:hAnsi="宋体" w:cs="宋体"/>
          <w:color w:val="000000"/>
          <w:kern w:val="0"/>
          <w:sz w:val="24"/>
          <w:szCs w:val="24"/>
        </w:rPr>
      </w:pPr>
      <w:r>
        <w:rPr>
          <w:rFonts w:hint="eastAsia" w:ascii="宋体" w:hAnsi="宋体" w:cs="宋体"/>
          <w:color w:val="000000"/>
          <w:kern w:val="0"/>
          <w:sz w:val="24"/>
          <w:szCs w:val="24"/>
        </w:rPr>
        <w:t>时间：</w:t>
      </w:r>
      <w:r>
        <w:rPr>
          <w:rFonts w:hint="eastAsia" w:ascii="宋体" w:hAnsi="宋体" w:cs="宋体"/>
          <w:color w:val="000000"/>
          <w:kern w:val="0"/>
          <w:sz w:val="24"/>
          <w:szCs w:val="24"/>
          <w:lang w:eastAsia="zh-CN"/>
        </w:rPr>
        <w:t>2022年</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12</w:t>
      </w:r>
      <w:r>
        <w:rPr>
          <w:rFonts w:hint="eastAsia" w:ascii="宋体" w:hAnsi="宋体" w:cs="宋体"/>
          <w:color w:val="000000"/>
          <w:kern w:val="0"/>
          <w:sz w:val="24"/>
          <w:szCs w:val="24"/>
        </w:rPr>
        <w:t>日至</w:t>
      </w:r>
      <w:r>
        <w:rPr>
          <w:rFonts w:hint="eastAsia" w:ascii="宋体" w:hAnsi="宋体" w:cs="宋体"/>
          <w:color w:val="000000"/>
          <w:kern w:val="0"/>
          <w:sz w:val="24"/>
          <w:szCs w:val="24"/>
          <w:lang w:eastAsia="zh-CN"/>
        </w:rPr>
        <w:t>2022年</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18</w:t>
      </w:r>
      <w:r>
        <w:rPr>
          <w:rFonts w:hint="eastAsia" w:ascii="宋体" w:hAnsi="宋体" w:cs="宋体"/>
          <w:color w:val="000000"/>
          <w:kern w:val="0"/>
          <w:sz w:val="24"/>
          <w:szCs w:val="24"/>
        </w:rPr>
        <w:t>日，每天上午9:00至12:00，下午13:30至17:00（北京时间，法定节假日除外）</w:t>
      </w:r>
    </w:p>
    <w:p>
      <w:pPr>
        <w:widowControl/>
        <w:shd w:val="clear" w:color="auto" w:fill="FFFFFF"/>
        <w:spacing w:line="560" w:lineRule="exact"/>
        <w:ind w:firstLine="643"/>
        <w:rPr>
          <w:rFonts w:ascii="宋体" w:hAnsi="宋体" w:cs="宋体"/>
          <w:color w:val="000000"/>
          <w:kern w:val="0"/>
          <w:sz w:val="24"/>
          <w:szCs w:val="24"/>
        </w:rPr>
      </w:pPr>
      <w:r>
        <w:rPr>
          <w:rFonts w:hint="eastAsia" w:ascii="宋体" w:hAnsi="宋体" w:cs="宋体"/>
          <w:color w:val="000000"/>
          <w:kern w:val="0"/>
          <w:sz w:val="24"/>
          <w:szCs w:val="24"/>
        </w:rPr>
        <w:t xml:space="preserve">地点：安招采电子交易平台www.anzhaocai.com </w:t>
      </w:r>
    </w:p>
    <w:p>
      <w:pPr>
        <w:widowControl/>
        <w:shd w:val="clear" w:color="auto" w:fill="FFFFFF"/>
        <w:spacing w:line="560" w:lineRule="exact"/>
        <w:ind w:firstLine="643"/>
        <w:rPr>
          <w:rFonts w:ascii="宋体" w:hAnsi="宋体" w:cs="宋体"/>
          <w:color w:val="000000"/>
          <w:kern w:val="0"/>
          <w:sz w:val="24"/>
          <w:szCs w:val="24"/>
        </w:rPr>
      </w:pPr>
      <w:r>
        <w:rPr>
          <w:rFonts w:hint="eastAsia" w:ascii="宋体" w:hAnsi="宋体" w:cs="宋体"/>
          <w:color w:val="000000"/>
          <w:kern w:val="0"/>
          <w:sz w:val="24"/>
          <w:szCs w:val="24"/>
        </w:rPr>
        <w:t>方式：报名须提供授权书</w:t>
      </w:r>
      <w:r>
        <w:rPr>
          <w:rFonts w:hint="eastAsia" w:ascii="宋体" w:hAnsi="宋体" w:cs="宋体"/>
          <w:color w:val="000000"/>
          <w:kern w:val="0"/>
          <w:sz w:val="24"/>
          <w:szCs w:val="24"/>
          <w:lang w:val="en-US" w:eastAsia="zh-CN"/>
        </w:rPr>
        <w:t>和</w:t>
      </w:r>
      <w:r>
        <w:rPr>
          <w:rFonts w:hint="eastAsia" w:ascii="宋体" w:hAnsi="宋体" w:cs="宋体"/>
          <w:color w:val="000000"/>
          <w:kern w:val="0"/>
          <w:sz w:val="24"/>
          <w:szCs w:val="24"/>
        </w:rPr>
        <w:t>企业营业执照复印件并加盖单位公章。发送报名材料电子版至</w:t>
      </w:r>
      <w:r>
        <w:rPr>
          <w:rFonts w:hint="eastAsia" w:ascii="宋体" w:hAnsi="宋体" w:cs="宋体"/>
          <w:color w:val="000000"/>
          <w:kern w:val="0"/>
          <w:sz w:val="24"/>
          <w:szCs w:val="24"/>
          <w:lang w:val="en-US" w:eastAsia="zh-CN"/>
        </w:rPr>
        <w:t>895662746</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qq</w:t>
      </w:r>
      <w:r>
        <w:rPr>
          <w:rFonts w:hint="eastAsia" w:ascii="宋体" w:hAnsi="宋体" w:cs="宋体"/>
          <w:color w:val="000000"/>
          <w:kern w:val="0"/>
          <w:sz w:val="24"/>
          <w:szCs w:val="24"/>
        </w:rPr>
        <w:t xml:space="preserve">.com邮箱登记报名（并注明联系人及联系方式）,材料发送后等待工作人员审核后回复邮件，报名成功。未报名不得参与投标。（温馨提示：为做好疫情防控，减少人员聚集，建议各潜在投标单位通过电子材料报名。）。 </w:t>
      </w:r>
    </w:p>
    <w:p>
      <w:pPr>
        <w:widowControl/>
        <w:shd w:val="clear" w:color="auto" w:fill="FFFFFF"/>
        <w:spacing w:line="560" w:lineRule="exact"/>
        <w:ind w:firstLine="643"/>
        <w:rPr>
          <w:rFonts w:ascii="宋体" w:hAnsi="宋体" w:cs="宋体"/>
          <w:color w:val="000000"/>
          <w:kern w:val="0"/>
          <w:sz w:val="24"/>
          <w:szCs w:val="24"/>
        </w:rPr>
      </w:pPr>
      <w:r>
        <w:rPr>
          <w:rFonts w:hint="eastAsia" w:ascii="宋体" w:hAnsi="宋体" w:cs="宋体"/>
          <w:color w:val="000000"/>
          <w:kern w:val="0"/>
          <w:sz w:val="24"/>
          <w:szCs w:val="24"/>
        </w:rPr>
        <w:t xml:space="preserve">售价：100元  </w:t>
      </w:r>
    </w:p>
    <w:p>
      <w:pPr>
        <w:widowControl/>
        <w:shd w:val="clear" w:color="auto" w:fill="FFFFFF"/>
        <w:spacing w:line="560" w:lineRule="exact"/>
        <w:ind w:firstLine="643"/>
        <w:rPr>
          <w:rFonts w:ascii="宋体"/>
          <w:b/>
          <w:bCs/>
          <w:color w:val="000000"/>
          <w:kern w:val="0"/>
          <w:sz w:val="24"/>
          <w:szCs w:val="24"/>
        </w:rPr>
      </w:pPr>
      <w:r>
        <w:rPr>
          <w:rFonts w:hint="eastAsia" w:ascii="宋体" w:hAnsi="宋体" w:cs="宋体"/>
          <w:b/>
          <w:bCs/>
          <w:color w:val="000000"/>
          <w:kern w:val="0"/>
          <w:sz w:val="24"/>
          <w:szCs w:val="24"/>
        </w:rPr>
        <w:t>四、响应文件提交</w:t>
      </w:r>
    </w:p>
    <w:p>
      <w:pPr>
        <w:widowControl/>
        <w:shd w:val="clear" w:color="auto" w:fill="FFFFFF"/>
        <w:spacing w:line="560" w:lineRule="exact"/>
        <w:ind w:firstLine="640"/>
        <w:rPr>
          <w:rFonts w:ascii="宋体" w:hAnsi="宋体" w:cs="宋体"/>
          <w:color w:val="000000"/>
          <w:kern w:val="0"/>
          <w:sz w:val="24"/>
          <w:szCs w:val="24"/>
        </w:rPr>
      </w:pPr>
      <w:r>
        <w:rPr>
          <w:rFonts w:hint="eastAsia" w:ascii="宋体" w:hAnsi="宋体" w:cs="宋体"/>
          <w:color w:val="000000"/>
          <w:kern w:val="0"/>
          <w:sz w:val="24"/>
          <w:szCs w:val="24"/>
        </w:rPr>
        <w:t>截止时间：</w:t>
      </w:r>
      <w:bookmarkStart w:id="2" w:name="_Hlk45693018"/>
      <w:r>
        <w:rPr>
          <w:rFonts w:hint="eastAsia" w:ascii="宋体" w:hAnsi="宋体" w:cs="宋体"/>
          <w:color w:val="000000"/>
          <w:kern w:val="0"/>
          <w:sz w:val="24"/>
          <w:szCs w:val="24"/>
          <w:lang w:eastAsia="zh-CN"/>
        </w:rPr>
        <w:t>2022年</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22</w:t>
      </w:r>
      <w:r>
        <w:rPr>
          <w:rFonts w:hint="eastAsia" w:ascii="宋体" w:hAnsi="宋体" w:cs="宋体"/>
          <w:color w:val="000000"/>
          <w:kern w:val="0"/>
          <w:sz w:val="24"/>
          <w:szCs w:val="24"/>
        </w:rPr>
        <w:t>日</w:t>
      </w:r>
      <w:r>
        <w:rPr>
          <w:rFonts w:hint="eastAsia" w:ascii="宋体" w:hAnsi="宋体" w:cs="宋体"/>
          <w:color w:val="000000"/>
          <w:kern w:val="0"/>
          <w:sz w:val="24"/>
          <w:szCs w:val="24"/>
          <w:lang w:val="en-US" w:eastAsia="zh-CN"/>
        </w:rPr>
        <w:t>15</w:t>
      </w:r>
      <w:r>
        <w:rPr>
          <w:rFonts w:hint="eastAsia" w:ascii="宋体" w:hAnsi="宋体" w:cs="宋体"/>
          <w:color w:val="000000"/>
          <w:kern w:val="0"/>
          <w:sz w:val="24"/>
          <w:szCs w:val="24"/>
        </w:rPr>
        <w:t>点</w:t>
      </w:r>
      <w:r>
        <w:rPr>
          <w:rFonts w:hint="eastAsia" w:ascii="宋体" w:hAnsi="宋体" w:cs="宋体"/>
          <w:color w:val="000000"/>
          <w:kern w:val="0"/>
          <w:sz w:val="24"/>
          <w:szCs w:val="24"/>
          <w:lang w:val="en-US" w:eastAsia="zh-CN"/>
        </w:rPr>
        <w:t>00</w:t>
      </w:r>
      <w:r>
        <w:rPr>
          <w:rFonts w:hint="eastAsia" w:ascii="宋体" w:hAnsi="宋体" w:cs="宋体"/>
          <w:color w:val="000000"/>
          <w:kern w:val="0"/>
          <w:sz w:val="24"/>
          <w:szCs w:val="24"/>
        </w:rPr>
        <w:t>分</w:t>
      </w:r>
      <w:bookmarkEnd w:id="2"/>
      <w:r>
        <w:rPr>
          <w:rFonts w:hint="eastAsia" w:ascii="宋体" w:hAnsi="宋体" w:cs="宋体"/>
          <w:color w:val="000000"/>
          <w:kern w:val="0"/>
          <w:sz w:val="24"/>
          <w:szCs w:val="24"/>
        </w:rPr>
        <w:t>（北京时间）</w:t>
      </w:r>
    </w:p>
    <w:p>
      <w:pPr>
        <w:widowControl/>
        <w:shd w:val="clear" w:color="auto" w:fill="FFFFFF"/>
        <w:spacing w:line="560" w:lineRule="exact"/>
        <w:ind w:firstLine="640"/>
        <w:rPr>
          <w:rFonts w:ascii="宋体" w:hAnsi="宋体" w:cs="宋体"/>
          <w:color w:val="000000"/>
          <w:kern w:val="0"/>
          <w:sz w:val="24"/>
          <w:szCs w:val="24"/>
        </w:rPr>
      </w:pPr>
      <w:r>
        <w:rPr>
          <w:rFonts w:hint="eastAsia" w:ascii="宋体" w:hAnsi="宋体" w:cs="宋体"/>
          <w:color w:val="000000"/>
          <w:kern w:val="0"/>
          <w:sz w:val="24"/>
          <w:szCs w:val="24"/>
        </w:rPr>
        <w:t>地点：芜湖市</w:t>
      </w:r>
      <w:r>
        <w:rPr>
          <w:rFonts w:hint="eastAsia" w:ascii="宋体" w:hAnsi="宋体" w:cs="宋体"/>
          <w:color w:val="000000"/>
          <w:kern w:val="0"/>
          <w:sz w:val="24"/>
          <w:szCs w:val="24"/>
          <w:lang w:val="en-US" w:eastAsia="zh-CN"/>
        </w:rPr>
        <w:t>中江大道与赤铸山路交叉口苏宁环球大酒店西南方向写字楼B座</w:t>
      </w:r>
      <w:r>
        <w:rPr>
          <w:rFonts w:hint="eastAsia" w:ascii="宋体" w:hAnsi="宋体" w:cs="宋体"/>
          <w:color w:val="000000"/>
          <w:kern w:val="0"/>
          <w:sz w:val="24"/>
          <w:szCs w:val="24"/>
        </w:rPr>
        <w:t>735（中江大道辅路诺克斯健身房旁）</w:t>
      </w:r>
    </w:p>
    <w:p>
      <w:pPr>
        <w:widowControl/>
        <w:shd w:val="clear" w:color="auto" w:fill="FFFFFF"/>
        <w:spacing w:line="560" w:lineRule="exact"/>
        <w:ind w:firstLine="643"/>
        <w:rPr>
          <w:rFonts w:ascii="宋体"/>
          <w:b/>
          <w:bCs/>
          <w:color w:val="000000"/>
          <w:kern w:val="0"/>
          <w:sz w:val="24"/>
          <w:szCs w:val="24"/>
        </w:rPr>
      </w:pPr>
      <w:r>
        <w:rPr>
          <w:rFonts w:hint="eastAsia" w:ascii="宋体" w:hAnsi="宋体" w:cs="宋体"/>
          <w:b/>
          <w:bCs/>
          <w:color w:val="000000"/>
          <w:kern w:val="0"/>
          <w:sz w:val="24"/>
          <w:szCs w:val="24"/>
        </w:rPr>
        <w:t>五、开启</w:t>
      </w:r>
    </w:p>
    <w:p>
      <w:pPr>
        <w:widowControl/>
        <w:shd w:val="clear" w:color="auto" w:fill="FFFFFF"/>
        <w:spacing w:line="560" w:lineRule="exact"/>
        <w:ind w:firstLine="643"/>
        <w:rPr>
          <w:rFonts w:ascii="宋体" w:hAnsi="宋体" w:cs="宋体"/>
          <w:color w:val="000000"/>
          <w:kern w:val="0"/>
          <w:sz w:val="24"/>
          <w:szCs w:val="24"/>
        </w:rPr>
      </w:pPr>
      <w:r>
        <w:rPr>
          <w:rFonts w:hint="eastAsia" w:ascii="宋体" w:hAnsi="宋体" w:cs="宋体"/>
          <w:color w:val="000000"/>
          <w:kern w:val="0"/>
          <w:sz w:val="24"/>
          <w:szCs w:val="24"/>
        </w:rPr>
        <w:t>时间：</w:t>
      </w:r>
      <w:r>
        <w:rPr>
          <w:rFonts w:hint="eastAsia" w:ascii="宋体" w:hAnsi="宋体" w:cs="宋体"/>
          <w:color w:val="000000"/>
          <w:kern w:val="0"/>
          <w:sz w:val="24"/>
          <w:szCs w:val="24"/>
          <w:lang w:eastAsia="zh-CN"/>
        </w:rPr>
        <w:t>2022年7月22日15点00分</w:t>
      </w:r>
      <w:r>
        <w:rPr>
          <w:rFonts w:hint="eastAsia" w:ascii="宋体" w:hAnsi="宋体" w:cs="宋体"/>
          <w:color w:val="000000"/>
          <w:kern w:val="0"/>
          <w:sz w:val="24"/>
          <w:szCs w:val="24"/>
        </w:rPr>
        <w:t>（北京时间）</w:t>
      </w:r>
    </w:p>
    <w:p>
      <w:pPr>
        <w:widowControl/>
        <w:shd w:val="clear" w:color="auto" w:fill="FFFFFF"/>
        <w:spacing w:line="560" w:lineRule="exact"/>
        <w:ind w:firstLine="643"/>
        <w:rPr>
          <w:rFonts w:ascii="宋体" w:hAnsi="宋体" w:cs="宋体"/>
          <w:color w:val="000000"/>
          <w:kern w:val="0"/>
          <w:sz w:val="24"/>
          <w:szCs w:val="24"/>
        </w:rPr>
      </w:pPr>
      <w:r>
        <w:rPr>
          <w:rFonts w:hint="eastAsia" w:ascii="宋体" w:hAnsi="宋体" w:cs="宋体"/>
          <w:color w:val="000000"/>
          <w:kern w:val="0"/>
          <w:sz w:val="24"/>
          <w:szCs w:val="24"/>
        </w:rPr>
        <w:t>地点：芜湖市</w:t>
      </w:r>
      <w:r>
        <w:rPr>
          <w:rFonts w:hint="eastAsia" w:ascii="宋体" w:hAnsi="宋体" w:cs="宋体"/>
          <w:color w:val="000000"/>
          <w:kern w:val="0"/>
          <w:sz w:val="24"/>
          <w:szCs w:val="24"/>
          <w:lang w:val="en-US" w:eastAsia="zh-CN"/>
        </w:rPr>
        <w:t>中江大道与赤铸山路交叉口苏宁环球大酒店西南方向写字楼B座</w:t>
      </w:r>
      <w:r>
        <w:rPr>
          <w:rFonts w:hint="eastAsia" w:ascii="宋体" w:hAnsi="宋体" w:cs="宋体"/>
          <w:color w:val="000000"/>
          <w:kern w:val="0"/>
          <w:sz w:val="24"/>
          <w:szCs w:val="24"/>
        </w:rPr>
        <w:t>735（中江大道辅路诺克斯健身房旁）</w:t>
      </w:r>
    </w:p>
    <w:p>
      <w:pPr>
        <w:widowControl/>
        <w:shd w:val="clear" w:color="auto" w:fill="FFFFFF"/>
        <w:spacing w:line="560" w:lineRule="exact"/>
        <w:ind w:firstLine="643"/>
        <w:rPr>
          <w:rFonts w:ascii="宋体" w:hAnsi="宋体" w:cs="宋体"/>
          <w:b/>
          <w:bCs/>
          <w:color w:val="000000"/>
          <w:kern w:val="0"/>
          <w:sz w:val="24"/>
          <w:szCs w:val="24"/>
        </w:rPr>
      </w:pPr>
      <w:r>
        <w:rPr>
          <w:rFonts w:hint="eastAsia" w:ascii="宋体" w:hAnsi="宋体" w:cs="宋体"/>
          <w:b/>
          <w:bCs/>
          <w:color w:val="000000"/>
          <w:kern w:val="0"/>
          <w:sz w:val="24"/>
          <w:szCs w:val="24"/>
        </w:rPr>
        <w:t>六、公告期限</w:t>
      </w:r>
    </w:p>
    <w:p>
      <w:pPr>
        <w:widowControl/>
        <w:shd w:val="clear" w:color="auto" w:fill="FFFFFF"/>
        <w:spacing w:line="560" w:lineRule="exact"/>
        <w:ind w:firstLine="643"/>
        <w:rPr>
          <w:rFonts w:ascii="宋体" w:hAnsi="宋体" w:cs="宋体"/>
          <w:color w:val="000000"/>
          <w:kern w:val="0"/>
          <w:sz w:val="24"/>
          <w:szCs w:val="24"/>
        </w:rPr>
      </w:pPr>
      <w:r>
        <w:rPr>
          <w:rFonts w:hint="eastAsia" w:ascii="宋体" w:hAnsi="宋体" w:cs="宋体"/>
          <w:color w:val="000000"/>
          <w:kern w:val="0"/>
          <w:sz w:val="24"/>
          <w:szCs w:val="24"/>
        </w:rPr>
        <w:t>自本公告发布之日起5个工作日</w:t>
      </w:r>
    </w:p>
    <w:p>
      <w:pPr>
        <w:widowControl/>
        <w:shd w:val="clear" w:color="auto" w:fill="FFFFFF"/>
        <w:spacing w:line="560" w:lineRule="exact"/>
        <w:ind w:firstLine="643"/>
        <w:rPr>
          <w:rFonts w:ascii="宋体" w:hAnsi="宋体" w:cs="宋体"/>
          <w:b/>
          <w:bCs/>
          <w:color w:val="000000"/>
          <w:kern w:val="0"/>
          <w:sz w:val="24"/>
          <w:szCs w:val="24"/>
        </w:rPr>
      </w:pPr>
      <w:r>
        <w:rPr>
          <w:rFonts w:hint="eastAsia" w:ascii="宋体" w:hAnsi="宋体" w:cs="宋体"/>
          <w:b/>
          <w:bCs/>
          <w:color w:val="000000"/>
          <w:kern w:val="0"/>
          <w:sz w:val="24"/>
          <w:szCs w:val="24"/>
        </w:rPr>
        <w:t>七、其他补充事宜</w:t>
      </w:r>
    </w:p>
    <w:p>
      <w:pPr>
        <w:widowControl/>
        <w:shd w:val="clear" w:color="auto" w:fill="FFFFFF"/>
        <w:spacing w:line="560" w:lineRule="exact"/>
        <w:ind w:firstLine="643"/>
        <w:rPr>
          <w:rFonts w:ascii="宋体" w:hAnsi="宋体" w:cs="宋体"/>
          <w:color w:val="000000"/>
          <w:kern w:val="0"/>
          <w:sz w:val="24"/>
          <w:szCs w:val="24"/>
        </w:rPr>
      </w:pPr>
      <w:r>
        <w:rPr>
          <w:rFonts w:hint="eastAsia" w:ascii="宋体" w:hAnsi="宋体" w:cs="宋体"/>
          <w:color w:val="000000"/>
          <w:kern w:val="0"/>
          <w:sz w:val="24"/>
          <w:szCs w:val="24"/>
        </w:rPr>
        <w:t>1.投标保证金缴纳：本项目无须缴纳投标保证金</w:t>
      </w:r>
    </w:p>
    <w:p>
      <w:pPr>
        <w:widowControl/>
        <w:shd w:val="clear" w:color="auto" w:fill="FFFFFF"/>
        <w:spacing w:line="560" w:lineRule="exact"/>
        <w:ind w:firstLine="643"/>
        <w:rPr>
          <w:rFonts w:ascii="宋体" w:hAnsi="宋体" w:cs="宋体"/>
          <w:color w:val="000000"/>
          <w:kern w:val="0"/>
          <w:sz w:val="24"/>
          <w:szCs w:val="24"/>
        </w:rPr>
      </w:pPr>
      <w:r>
        <w:rPr>
          <w:rFonts w:hint="eastAsia" w:ascii="宋体" w:hAnsi="宋体" w:cs="宋体"/>
          <w:color w:val="000000"/>
          <w:kern w:val="0"/>
          <w:sz w:val="24"/>
          <w:szCs w:val="24"/>
        </w:rPr>
        <w:t>2.公告发布媒体：</w:t>
      </w:r>
      <w:r>
        <w:rPr>
          <w:rFonts w:hint="eastAsia" w:ascii="宋体" w:hAnsi="宋体" w:cs="宋体"/>
          <w:color w:val="000000"/>
          <w:kern w:val="0"/>
          <w:sz w:val="24"/>
          <w:szCs w:val="24"/>
          <w:lang w:val="en-US" w:eastAsia="zh-CN"/>
        </w:rPr>
        <w:t>芜湖市急救中心网站（http://www.ahwh120.com/）</w:t>
      </w:r>
    </w:p>
    <w:p>
      <w:pPr>
        <w:widowControl/>
        <w:shd w:val="clear" w:color="auto" w:fill="FFFFFF"/>
        <w:spacing w:line="560" w:lineRule="exact"/>
        <w:ind w:firstLine="643"/>
        <w:rPr>
          <w:rFonts w:ascii="宋体" w:hAnsi="宋体" w:cs="宋体"/>
          <w:b/>
          <w:bCs/>
          <w:color w:val="000000"/>
          <w:kern w:val="0"/>
          <w:sz w:val="24"/>
          <w:szCs w:val="24"/>
        </w:rPr>
      </w:pPr>
      <w:r>
        <w:rPr>
          <w:rFonts w:hint="eastAsia" w:ascii="宋体" w:hAnsi="宋体" w:cs="宋体"/>
          <w:b/>
          <w:bCs/>
          <w:color w:val="000000"/>
          <w:kern w:val="0"/>
          <w:sz w:val="24"/>
          <w:szCs w:val="24"/>
        </w:rPr>
        <w:t>八、凡对本次采购提出询问，请按以下方式联系。</w:t>
      </w:r>
    </w:p>
    <w:p>
      <w:pPr>
        <w:widowControl/>
        <w:shd w:val="clear" w:color="auto" w:fill="FFFFFF"/>
        <w:spacing w:line="495" w:lineRule="atLeast"/>
        <w:ind w:firstLine="555"/>
        <w:jc w:val="left"/>
        <w:rPr>
          <w:rFonts w:ascii="宋体" w:hAnsi="宋体" w:cs="宋体"/>
          <w:color w:val="000000"/>
          <w:kern w:val="0"/>
          <w:sz w:val="24"/>
          <w:szCs w:val="24"/>
        </w:rPr>
      </w:pPr>
      <w:r>
        <w:rPr>
          <w:rFonts w:hint="eastAsia" w:ascii="宋体" w:hAnsi="宋体" w:cs="宋体"/>
          <w:color w:val="000000"/>
          <w:kern w:val="0"/>
          <w:sz w:val="24"/>
          <w:szCs w:val="24"/>
        </w:rPr>
        <w:t>1.采购人信息</w:t>
      </w:r>
    </w:p>
    <w:p>
      <w:pPr>
        <w:widowControl/>
        <w:shd w:val="clear" w:color="auto" w:fill="FFFFFF"/>
        <w:spacing w:line="495" w:lineRule="atLeast"/>
        <w:ind w:firstLine="555"/>
        <w:jc w:val="left"/>
        <w:rPr>
          <w:rFonts w:hint="eastAsia" w:ascii="宋体" w:hAnsi="宋体" w:cs="宋体"/>
          <w:color w:val="000000"/>
          <w:kern w:val="0"/>
          <w:sz w:val="24"/>
          <w:szCs w:val="24"/>
        </w:rPr>
      </w:pPr>
      <w:r>
        <w:rPr>
          <w:rFonts w:hint="eastAsia" w:ascii="宋体" w:hAnsi="宋体" w:cs="宋体"/>
          <w:color w:val="000000"/>
          <w:kern w:val="0"/>
          <w:sz w:val="24"/>
          <w:szCs w:val="24"/>
        </w:rPr>
        <w:t>名称：芜湖市急救中心　　　　</w:t>
      </w:r>
    </w:p>
    <w:p>
      <w:pPr>
        <w:widowControl/>
        <w:shd w:val="clear" w:color="auto" w:fill="FFFFFF"/>
        <w:spacing w:line="495" w:lineRule="atLeast"/>
        <w:ind w:firstLine="555"/>
        <w:jc w:val="left"/>
        <w:rPr>
          <w:rFonts w:hint="eastAsia" w:ascii="宋体" w:hAnsi="宋体" w:cs="宋体"/>
          <w:color w:val="000000"/>
          <w:kern w:val="0"/>
          <w:sz w:val="24"/>
          <w:szCs w:val="24"/>
        </w:rPr>
      </w:pPr>
      <w:r>
        <w:rPr>
          <w:rFonts w:hint="eastAsia" w:ascii="宋体" w:hAnsi="宋体" w:cs="宋体"/>
          <w:color w:val="000000"/>
          <w:kern w:val="0"/>
          <w:sz w:val="24"/>
          <w:szCs w:val="24"/>
        </w:rPr>
        <w:t>地址：芜湖市鸠江区　　　　　　　　</w:t>
      </w:r>
    </w:p>
    <w:p>
      <w:pPr>
        <w:widowControl/>
        <w:shd w:val="clear" w:color="auto" w:fill="FFFFFF"/>
        <w:spacing w:line="495" w:lineRule="atLeast"/>
        <w:ind w:firstLine="555"/>
        <w:jc w:val="left"/>
        <w:rPr>
          <w:rFonts w:ascii="宋体" w:hAnsi="宋体" w:cs="宋体"/>
          <w:color w:val="000000"/>
          <w:kern w:val="0"/>
          <w:sz w:val="24"/>
          <w:szCs w:val="24"/>
        </w:rPr>
      </w:pPr>
      <w:r>
        <w:rPr>
          <w:rFonts w:hint="eastAsia" w:ascii="宋体" w:hAnsi="宋体" w:cs="宋体"/>
          <w:color w:val="000000"/>
          <w:kern w:val="0"/>
          <w:sz w:val="24"/>
          <w:szCs w:val="24"/>
        </w:rPr>
        <w:t xml:space="preserve">联系方式：0553-3887547　　　   </w:t>
      </w:r>
    </w:p>
    <w:p>
      <w:pPr>
        <w:widowControl/>
        <w:shd w:val="clear" w:color="auto" w:fill="FFFFFF"/>
        <w:spacing w:line="495" w:lineRule="atLeast"/>
        <w:ind w:firstLine="555"/>
        <w:jc w:val="left"/>
        <w:rPr>
          <w:rFonts w:ascii="宋体" w:hAnsi="宋体" w:cs="宋体"/>
          <w:color w:val="000000"/>
          <w:kern w:val="0"/>
          <w:sz w:val="24"/>
          <w:szCs w:val="24"/>
        </w:rPr>
      </w:pPr>
      <w:r>
        <w:rPr>
          <w:rFonts w:hint="eastAsia" w:ascii="宋体" w:hAnsi="宋体" w:cs="宋体"/>
          <w:color w:val="000000"/>
          <w:kern w:val="0"/>
          <w:sz w:val="24"/>
          <w:szCs w:val="24"/>
        </w:rPr>
        <w:t>2.采购代理机构信息</w:t>
      </w:r>
    </w:p>
    <w:p>
      <w:pPr>
        <w:widowControl/>
        <w:shd w:val="clear" w:color="auto" w:fill="FFFFFF"/>
        <w:spacing w:line="495" w:lineRule="atLeast"/>
        <w:ind w:firstLine="555"/>
        <w:jc w:val="left"/>
        <w:rPr>
          <w:rFonts w:ascii="宋体" w:hAnsi="宋体" w:cs="宋体"/>
          <w:color w:val="000000"/>
          <w:kern w:val="0"/>
          <w:sz w:val="24"/>
          <w:szCs w:val="24"/>
        </w:rPr>
      </w:pPr>
      <w:r>
        <w:rPr>
          <w:rFonts w:hint="eastAsia" w:ascii="宋体" w:hAnsi="宋体" w:cs="宋体"/>
          <w:color w:val="000000"/>
          <w:kern w:val="0"/>
          <w:sz w:val="24"/>
          <w:szCs w:val="24"/>
        </w:rPr>
        <w:t xml:space="preserve">名称：安徽鼎信项目管理股份有限公司　             </w:t>
      </w:r>
    </w:p>
    <w:p>
      <w:pPr>
        <w:widowControl/>
        <w:shd w:val="clear" w:color="auto" w:fill="FFFFFF"/>
        <w:spacing w:line="495" w:lineRule="atLeast"/>
        <w:ind w:firstLine="555"/>
        <w:jc w:val="left"/>
        <w:rPr>
          <w:rFonts w:ascii="宋体" w:hAnsi="宋体" w:cs="宋体"/>
          <w:color w:val="000000"/>
          <w:kern w:val="0"/>
          <w:sz w:val="24"/>
          <w:szCs w:val="24"/>
        </w:rPr>
      </w:pPr>
      <w:r>
        <w:rPr>
          <w:rFonts w:hint="eastAsia" w:ascii="宋体" w:hAnsi="宋体" w:cs="宋体"/>
          <w:color w:val="000000"/>
          <w:kern w:val="0"/>
          <w:sz w:val="24"/>
          <w:szCs w:val="24"/>
        </w:rPr>
        <w:t xml:space="preserve">地址：芜湖市城市之光B2地块二期12#楼722　                 </w:t>
      </w:r>
    </w:p>
    <w:p>
      <w:pPr>
        <w:widowControl/>
        <w:shd w:val="clear" w:color="auto" w:fill="FFFFFF"/>
        <w:spacing w:line="495" w:lineRule="atLeast"/>
        <w:ind w:firstLine="555"/>
        <w:jc w:val="left"/>
        <w:rPr>
          <w:rFonts w:ascii="宋体" w:hAnsi="宋体" w:cs="宋体"/>
          <w:color w:val="000000"/>
          <w:kern w:val="0"/>
          <w:sz w:val="24"/>
          <w:szCs w:val="24"/>
        </w:rPr>
      </w:pPr>
      <w:r>
        <w:rPr>
          <w:rFonts w:hint="eastAsia" w:ascii="宋体" w:hAnsi="宋体" w:cs="宋体"/>
          <w:color w:val="000000"/>
          <w:kern w:val="0"/>
          <w:sz w:val="24"/>
          <w:szCs w:val="24"/>
        </w:rPr>
        <w:t>联系方式：王</w:t>
      </w:r>
      <w:r>
        <w:rPr>
          <w:rFonts w:hint="eastAsia" w:ascii="宋体" w:hAnsi="宋体" w:cs="宋体"/>
          <w:color w:val="000000"/>
          <w:kern w:val="0"/>
          <w:sz w:val="24"/>
          <w:szCs w:val="24"/>
          <w:lang w:val="en-US" w:eastAsia="zh-CN"/>
        </w:rPr>
        <w:t>丽</w:t>
      </w:r>
      <w:r>
        <w:rPr>
          <w:rFonts w:hint="eastAsia" w:ascii="宋体" w:hAnsi="宋体" w:cs="宋体"/>
          <w:color w:val="000000"/>
          <w:kern w:val="0"/>
          <w:sz w:val="24"/>
          <w:szCs w:val="24"/>
        </w:rPr>
        <w:t xml:space="preserve"> 18255378289</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0553-5897716　                </w:t>
      </w:r>
    </w:p>
    <w:p>
      <w:pPr>
        <w:widowControl/>
        <w:shd w:val="clear" w:color="auto" w:fill="FFFFFF"/>
        <w:spacing w:line="495" w:lineRule="atLeast"/>
        <w:ind w:firstLine="555"/>
        <w:jc w:val="left"/>
        <w:rPr>
          <w:rFonts w:ascii="宋体" w:hAnsi="宋体" w:cs="宋体"/>
          <w:color w:val="000000"/>
          <w:kern w:val="0"/>
          <w:sz w:val="24"/>
          <w:szCs w:val="24"/>
        </w:rPr>
      </w:pPr>
      <w:r>
        <w:rPr>
          <w:rFonts w:hint="eastAsia" w:ascii="宋体" w:hAnsi="宋体" w:cs="宋体"/>
          <w:color w:val="000000"/>
          <w:kern w:val="0"/>
          <w:sz w:val="24"/>
          <w:szCs w:val="24"/>
        </w:rPr>
        <w:t>3.项目联系方式</w:t>
      </w:r>
    </w:p>
    <w:p>
      <w:pPr>
        <w:widowControl/>
        <w:shd w:val="clear" w:color="auto" w:fill="FFFFFF"/>
        <w:spacing w:line="495" w:lineRule="atLeast"/>
        <w:ind w:firstLine="555"/>
        <w:jc w:val="left"/>
        <w:rPr>
          <w:rFonts w:ascii="宋体" w:hAnsi="宋体" w:cs="宋体"/>
          <w:color w:val="000000"/>
          <w:kern w:val="0"/>
          <w:sz w:val="24"/>
          <w:szCs w:val="24"/>
        </w:rPr>
      </w:pPr>
      <w:r>
        <w:rPr>
          <w:rFonts w:hint="eastAsia" w:ascii="宋体" w:hAnsi="宋体" w:cs="宋体"/>
          <w:color w:val="000000"/>
          <w:kern w:val="0"/>
          <w:sz w:val="24"/>
          <w:szCs w:val="24"/>
        </w:rPr>
        <w:t>项目联系人：王</w:t>
      </w:r>
      <w:r>
        <w:rPr>
          <w:rFonts w:hint="eastAsia" w:ascii="宋体" w:hAnsi="宋体" w:cs="宋体"/>
          <w:color w:val="000000"/>
          <w:kern w:val="0"/>
          <w:sz w:val="24"/>
          <w:szCs w:val="24"/>
          <w:lang w:val="en-US" w:eastAsia="zh-CN"/>
        </w:rPr>
        <w:t>丽</w:t>
      </w:r>
      <w:r>
        <w:rPr>
          <w:rFonts w:hint="eastAsia" w:ascii="宋体" w:hAnsi="宋体" w:cs="宋体"/>
          <w:color w:val="000000"/>
          <w:kern w:val="0"/>
          <w:sz w:val="24"/>
          <w:szCs w:val="24"/>
        </w:rPr>
        <w:t xml:space="preserve">  </w:t>
      </w:r>
    </w:p>
    <w:p>
      <w:pPr>
        <w:widowControl/>
        <w:shd w:val="clear" w:color="auto" w:fill="FFFFFF"/>
        <w:spacing w:line="495" w:lineRule="atLeast"/>
        <w:ind w:firstLine="555"/>
        <w:jc w:val="left"/>
        <w:rPr>
          <w:rFonts w:ascii="宋体" w:hAnsi="宋体" w:cs="宋体"/>
          <w:color w:val="000000"/>
          <w:kern w:val="0"/>
          <w:sz w:val="24"/>
          <w:szCs w:val="24"/>
        </w:rPr>
      </w:pPr>
      <w:r>
        <w:rPr>
          <w:rFonts w:hint="eastAsia" w:ascii="宋体" w:hAnsi="宋体" w:cs="宋体"/>
          <w:color w:val="000000"/>
          <w:kern w:val="0"/>
          <w:sz w:val="24"/>
          <w:szCs w:val="24"/>
        </w:rPr>
        <w:t>电话：</w:t>
      </w:r>
      <w:r>
        <w:rPr>
          <w:rFonts w:ascii="宋体" w:hAnsi="宋体" w:cs="宋体"/>
          <w:color w:val="000000"/>
          <w:kern w:val="0"/>
          <w:sz w:val="24"/>
          <w:szCs w:val="24"/>
        </w:rPr>
        <w:t>18255378289  0553-5897716</w:t>
      </w:r>
    </w:p>
    <w:p>
      <w:pPr>
        <w:widowControl/>
        <w:shd w:val="clear" w:color="auto" w:fill="FFFFFF"/>
        <w:spacing w:line="495" w:lineRule="atLeast"/>
        <w:ind w:firstLine="555"/>
        <w:jc w:val="left"/>
        <w:rPr>
          <w:rFonts w:ascii="宋体" w:hAnsi="宋体" w:cs="宋体"/>
          <w:color w:val="000000"/>
          <w:kern w:val="0"/>
          <w:sz w:val="24"/>
          <w:szCs w:val="24"/>
        </w:rPr>
      </w:pPr>
      <w:r>
        <w:rPr>
          <w:rFonts w:hint="eastAsia" w:ascii="宋体" w:hAnsi="宋体" w:cs="宋体"/>
          <w:color w:val="000000"/>
          <w:kern w:val="0"/>
          <w:sz w:val="24"/>
          <w:szCs w:val="24"/>
        </w:rPr>
        <w:t>传真：/</w:t>
      </w:r>
    </w:p>
    <w:p>
      <w:pPr>
        <w:widowControl/>
        <w:shd w:val="clear" w:color="auto" w:fill="FFFFFF"/>
        <w:spacing w:line="495" w:lineRule="atLeast"/>
        <w:ind w:firstLine="555"/>
        <w:jc w:val="left"/>
        <w:rPr>
          <w:rFonts w:ascii="Helvetica" w:hAnsi="Helvetica" w:cs="宋体"/>
          <w:color w:val="344644"/>
          <w:kern w:val="0"/>
          <w:sz w:val="20"/>
          <w:szCs w:val="20"/>
        </w:rPr>
      </w:pPr>
      <w:r>
        <w:rPr>
          <w:rFonts w:hint="eastAsia" w:ascii="宋体" w:hAnsi="宋体" w:cs="宋体"/>
          <w:color w:val="000000"/>
          <w:kern w:val="0"/>
          <w:sz w:val="24"/>
          <w:szCs w:val="24"/>
        </w:rPr>
        <w:t>邮箱：/</w:t>
      </w:r>
    </w:p>
    <w:p>
      <w:pPr>
        <w:widowControl/>
        <w:shd w:val="clear" w:color="auto" w:fill="FFFFFF"/>
        <w:ind w:firstLine="480" w:firstLineChars="200"/>
        <w:jc w:val="left"/>
        <w:rPr>
          <w:rFonts w:ascii="宋体"/>
          <w:color w:val="000000"/>
          <w:kern w:val="0"/>
          <w:sz w:val="24"/>
          <w:szCs w:val="24"/>
        </w:rPr>
      </w:pPr>
    </w:p>
    <w:p>
      <w:pPr>
        <w:rPr>
          <w:rFonts w:ascii="宋体"/>
          <w:sz w:val="24"/>
          <w:szCs w:val="24"/>
        </w:rPr>
      </w:pPr>
    </w:p>
    <w:bookmarkEnd w:id="0"/>
    <w:p>
      <w:pPr>
        <w:rPr>
          <w:rFonts w:ascii="宋体"/>
          <w:sz w:val="24"/>
          <w:szCs w:val="24"/>
        </w:rPr>
      </w:pPr>
    </w:p>
    <w:p>
      <w:pPr>
        <w:rPr>
          <w:rFonts w:ascii="宋体"/>
          <w:sz w:val="24"/>
          <w:szCs w:val="24"/>
        </w:rPr>
      </w:pPr>
    </w:p>
    <w:bookmarkEnd w:id="1"/>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pStyle w:val="23"/>
      </w:pPr>
    </w:p>
    <w:p>
      <w:pPr>
        <w:rPr>
          <w:rFonts w:ascii="宋体"/>
          <w:sz w:val="24"/>
          <w:szCs w:val="24"/>
        </w:rPr>
      </w:pPr>
    </w:p>
    <w:p>
      <w:pPr>
        <w:rPr>
          <w:rFonts w:ascii="宋体"/>
          <w:sz w:val="24"/>
          <w:szCs w:val="24"/>
        </w:rPr>
      </w:pPr>
    </w:p>
    <w:p>
      <w:pPr>
        <w:spacing w:line="350" w:lineRule="exact"/>
        <w:jc w:val="center"/>
        <w:outlineLvl w:val="0"/>
        <w:rPr>
          <w:rFonts w:ascii="宋体"/>
          <w:b/>
          <w:bCs/>
          <w:sz w:val="28"/>
          <w:szCs w:val="28"/>
        </w:rPr>
      </w:pPr>
      <w:r>
        <w:rPr>
          <w:rFonts w:hint="eastAsia" w:ascii="宋体" w:hAnsi="宋体" w:cs="宋体"/>
          <w:b/>
          <w:bCs/>
          <w:sz w:val="28"/>
          <w:szCs w:val="28"/>
        </w:rPr>
        <w:t>二、投标供应商须知</w:t>
      </w:r>
    </w:p>
    <w:p>
      <w:pPr>
        <w:jc w:val="center"/>
        <w:outlineLvl w:val="0"/>
        <w:rPr>
          <w:rFonts w:ascii="宋体"/>
          <w:b/>
          <w:bCs/>
          <w:sz w:val="24"/>
          <w:szCs w:val="24"/>
        </w:rPr>
      </w:pPr>
      <w:r>
        <w:rPr>
          <w:rFonts w:hint="eastAsia" w:ascii="宋体" w:hAnsi="宋体" w:cs="宋体"/>
          <w:b/>
          <w:bCs/>
          <w:sz w:val="24"/>
          <w:szCs w:val="24"/>
        </w:rPr>
        <w:t>（一）投标供应商须知前附表</w:t>
      </w:r>
    </w:p>
    <w:tbl>
      <w:tblPr>
        <w:tblStyle w:val="24"/>
        <w:tblW w:w="9860" w:type="dxa"/>
        <w:tblInd w:w="-106" w:type="dxa"/>
        <w:tblLayout w:type="fixed"/>
        <w:tblCellMar>
          <w:top w:w="0" w:type="dxa"/>
          <w:left w:w="108" w:type="dxa"/>
          <w:bottom w:w="0" w:type="dxa"/>
          <w:right w:w="108" w:type="dxa"/>
        </w:tblCellMar>
      </w:tblPr>
      <w:tblGrid>
        <w:gridCol w:w="512"/>
        <w:gridCol w:w="2112"/>
        <w:gridCol w:w="7236"/>
      </w:tblGrid>
      <w:tr>
        <w:tblPrEx>
          <w:tblCellMar>
            <w:top w:w="0" w:type="dxa"/>
            <w:left w:w="108" w:type="dxa"/>
            <w:bottom w:w="0" w:type="dxa"/>
            <w:right w:w="108" w:type="dxa"/>
          </w:tblCellMar>
        </w:tblPrEx>
        <w:trPr>
          <w:trHeight w:val="93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bCs/>
                <w:sz w:val="22"/>
                <w:szCs w:val="22"/>
              </w:rPr>
            </w:pPr>
            <w:r>
              <w:rPr>
                <w:rFonts w:hint="eastAsia" w:ascii="宋体" w:hAnsi="宋体" w:cs="宋体"/>
                <w:b/>
                <w:bCs/>
                <w:sz w:val="22"/>
                <w:szCs w:val="22"/>
              </w:rPr>
              <w:t>序号</w:t>
            </w:r>
          </w:p>
        </w:tc>
        <w:tc>
          <w:tcPr>
            <w:tcW w:w="2112" w:type="dxa"/>
            <w:tcBorders>
              <w:top w:val="single" w:color="auto" w:sz="4" w:space="0"/>
              <w:left w:val="nil"/>
              <w:bottom w:val="single" w:color="auto" w:sz="4" w:space="0"/>
              <w:right w:val="single" w:color="auto" w:sz="4" w:space="0"/>
            </w:tcBorders>
            <w:vAlign w:val="center"/>
          </w:tcPr>
          <w:p>
            <w:pPr>
              <w:spacing w:line="360" w:lineRule="auto"/>
              <w:jc w:val="center"/>
              <w:rPr>
                <w:rFonts w:ascii="宋体"/>
                <w:b/>
                <w:bCs/>
                <w:sz w:val="22"/>
                <w:szCs w:val="22"/>
              </w:rPr>
            </w:pPr>
            <w:r>
              <w:rPr>
                <w:rFonts w:hint="eastAsia" w:ascii="宋体" w:hAnsi="宋体" w:cs="宋体"/>
                <w:b/>
                <w:bCs/>
                <w:sz w:val="22"/>
                <w:szCs w:val="22"/>
              </w:rPr>
              <w:t>内容</w:t>
            </w:r>
          </w:p>
        </w:tc>
        <w:tc>
          <w:tcPr>
            <w:tcW w:w="7236" w:type="dxa"/>
            <w:tcBorders>
              <w:top w:val="single" w:color="auto" w:sz="4" w:space="0"/>
              <w:left w:val="nil"/>
              <w:bottom w:val="single" w:color="auto" w:sz="4" w:space="0"/>
              <w:right w:val="single" w:color="auto" w:sz="4" w:space="0"/>
            </w:tcBorders>
            <w:vAlign w:val="center"/>
          </w:tcPr>
          <w:p>
            <w:pPr>
              <w:pStyle w:val="64"/>
              <w:widowControl w:val="0"/>
              <w:spacing w:before="0" w:beforeAutospacing="0" w:after="0" w:afterAutospacing="0" w:line="360" w:lineRule="auto"/>
              <w:rPr>
                <w:rFonts w:cs="Times New Roman"/>
                <w:kern w:val="2"/>
                <w:sz w:val="22"/>
                <w:szCs w:val="22"/>
              </w:rPr>
            </w:pPr>
            <w:r>
              <w:rPr>
                <w:rFonts w:hint="eastAsia"/>
                <w:kern w:val="2"/>
                <w:sz w:val="22"/>
                <w:szCs w:val="22"/>
              </w:rPr>
              <w:t>说明与要求</w:t>
            </w:r>
          </w:p>
        </w:tc>
      </w:tr>
      <w:tr>
        <w:tblPrEx>
          <w:tblCellMar>
            <w:top w:w="0" w:type="dxa"/>
            <w:left w:w="108" w:type="dxa"/>
            <w:bottom w:w="0" w:type="dxa"/>
            <w:right w:w="108" w:type="dxa"/>
          </w:tblCellMar>
        </w:tblPrEx>
        <w:trPr>
          <w:trHeight w:val="47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1</w:t>
            </w:r>
          </w:p>
        </w:tc>
        <w:tc>
          <w:tcPr>
            <w:tcW w:w="2112" w:type="dxa"/>
            <w:tcBorders>
              <w:top w:val="single" w:color="auto" w:sz="4" w:space="0"/>
              <w:left w:val="nil"/>
              <w:bottom w:val="single" w:color="auto" w:sz="4" w:space="0"/>
              <w:right w:val="single" w:color="auto" w:sz="4" w:space="0"/>
            </w:tcBorders>
            <w:vAlign w:val="center"/>
          </w:tcPr>
          <w:p>
            <w:pPr>
              <w:spacing w:line="360" w:lineRule="auto"/>
              <w:jc w:val="center"/>
              <w:rPr>
                <w:rFonts w:ascii="宋体"/>
                <w:sz w:val="22"/>
                <w:szCs w:val="22"/>
              </w:rPr>
            </w:pPr>
            <w:r>
              <w:rPr>
                <w:rFonts w:hint="eastAsia" w:ascii="宋体" w:hAnsi="宋体" w:cs="宋体"/>
                <w:sz w:val="22"/>
                <w:szCs w:val="22"/>
              </w:rPr>
              <w:t>采购人</w:t>
            </w:r>
          </w:p>
        </w:tc>
        <w:tc>
          <w:tcPr>
            <w:tcW w:w="7236" w:type="dxa"/>
            <w:tcBorders>
              <w:top w:val="single" w:color="auto" w:sz="4" w:space="0"/>
              <w:left w:val="nil"/>
              <w:bottom w:val="single" w:color="auto" w:sz="4" w:space="0"/>
              <w:right w:val="single" w:color="auto" w:sz="4" w:space="0"/>
            </w:tcBorders>
            <w:vAlign w:val="center"/>
          </w:tcPr>
          <w:p>
            <w:pPr>
              <w:widowControl/>
              <w:spacing w:before="156" w:beforeLines="50"/>
              <w:rPr>
                <w:rFonts w:hint="eastAsia" w:ascii="宋体" w:eastAsia="宋体"/>
                <w:kern w:val="0"/>
                <w:sz w:val="22"/>
                <w:szCs w:val="22"/>
                <w:lang w:eastAsia="zh-CN"/>
              </w:rPr>
            </w:pPr>
            <w:r>
              <w:rPr>
                <w:rFonts w:hint="eastAsia" w:ascii="宋体" w:hAnsi="宋体" w:cs="宋体"/>
                <w:sz w:val="22"/>
                <w:szCs w:val="22"/>
                <w:lang w:eastAsia="zh-CN"/>
              </w:rPr>
              <w:t>芜湖市急救中心</w:t>
            </w:r>
          </w:p>
        </w:tc>
      </w:tr>
      <w:tr>
        <w:tblPrEx>
          <w:tblCellMar>
            <w:top w:w="0" w:type="dxa"/>
            <w:left w:w="108" w:type="dxa"/>
            <w:bottom w:w="0" w:type="dxa"/>
            <w:right w:w="108" w:type="dxa"/>
          </w:tblCellMar>
        </w:tblPrEx>
        <w:trPr>
          <w:trHeight w:val="47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2</w:t>
            </w:r>
          </w:p>
        </w:tc>
        <w:tc>
          <w:tcPr>
            <w:tcW w:w="2112" w:type="dxa"/>
            <w:tcBorders>
              <w:top w:val="single" w:color="auto" w:sz="4" w:space="0"/>
              <w:left w:val="nil"/>
              <w:bottom w:val="single" w:color="auto" w:sz="4" w:space="0"/>
              <w:right w:val="single" w:color="auto" w:sz="4" w:space="0"/>
            </w:tcBorders>
            <w:vAlign w:val="center"/>
          </w:tcPr>
          <w:p>
            <w:pPr>
              <w:spacing w:line="360" w:lineRule="auto"/>
              <w:jc w:val="center"/>
              <w:rPr>
                <w:rFonts w:ascii="宋体"/>
                <w:sz w:val="22"/>
                <w:szCs w:val="22"/>
              </w:rPr>
            </w:pPr>
            <w:r>
              <w:rPr>
                <w:rFonts w:hint="eastAsia" w:ascii="宋体" w:hAnsi="宋体" w:cs="宋体"/>
                <w:sz w:val="22"/>
                <w:szCs w:val="22"/>
              </w:rPr>
              <w:t>项目名称</w:t>
            </w:r>
          </w:p>
        </w:tc>
        <w:tc>
          <w:tcPr>
            <w:tcW w:w="7236" w:type="dxa"/>
            <w:tcBorders>
              <w:top w:val="single" w:color="auto" w:sz="4" w:space="0"/>
              <w:left w:val="nil"/>
              <w:bottom w:val="single" w:color="auto" w:sz="4" w:space="0"/>
              <w:right w:val="single" w:color="auto" w:sz="4" w:space="0"/>
            </w:tcBorders>
            <w:vAlign w:val="center"/>
          </w:tcPr>
          <w:p>
            <w:pPr>
              <w:pStyle w:val="64"/>
              <w:widowControl w:val="0"/>
              <w:spacing w:before="0" w:beforeAutospacing="0" w:after="0" w:afterAutospacing="0" w:line="360" w:lineRule="auto"/>
              <w:jc w:val="both"/>
              <w:rPr>
                <w:rFonts w:hint="eastAsia" w:eastAsia="宋体" w:cs="Times New Roman"/>
                <w:b w:val="0"/>
                <w:bCs w:val="0"/>
                <w:sz w:val="22"/>
                <w:szCs w:val="22"/>
                <w:lang w:eastAsia="zh-CN"/>
              </w:rPr>
            </w:pPr>
            <w:r>
              <w:rPr>
                <w:rFonts w:hint="eastAsia"/>
                <w:b w:val="0"/>
                <w:bCs w:val="0"/>
                <w:sz w:val="22"/>
                <w:szCs w:val="22"/>
                <w:lang w:eastAsia="zh-CN"/>
              </w:rPr>
              <w:t>芜湖市院前急救体系能力提升120急救终端设备建设采购监理项目</w:t>
            </w:r>
          </w:p>
        </w:tc>
      </w:tr>
      <w:tr>
        <w:tblPrEx>
          <w:tblCellMar>
            <w:top w:w="0" w:type="dxa"/>
            <w:left w:w="108" w:type="dxa"/>
            <w:bottom w:w="0" w:type="dxa"/>
            <w:right w:w="108" w:type="dxa"/>
          </w:tblCellMar>
        </w:tblPrEx>
        <w:trPr>
          <w:trHeight w:val="47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3</w:t>
            </w:r>
          </w:p>
        </w:tc>
        <w:tc>
          <w:tcPr>
            <w:tcW w:w="2112" w:type="dxa"/>
            <w:tcBorders>
              <w:top w:val="single" w:color="auto" w:sz="4" w:space="0"/>
              <w:left w:val="nil"/>
              <w:bottom w:val="single" w:color="auto" w:sz="4" w:space="0"/>
              <w:right w:val="single" w:color="auto" w:sz="4" w:space="0"/>
            </w:tcBorders>
            <w:vAlign w:val="center"/>
          </w:tcPr>
          <w:p>
            <w:pPr>
              <w:spacing w:line="360" w:lineRule="auto"/>
              <w:jc w:val="center"/>
              <w:rPr>
                <w:rFonts w:ascii="宋体"/>
                <w:sz w:val="22"/>
                <w:szCs w:val="22"/>
              </w:rPr>
            </w:pPr>
            <w:r>
              <w:rPr>
                <w:rFonts w:hint="eastAsia" w:ascii="宋体" w:hAnsi="宋体" w:cs="宋体"/>
                <w:sz w:val="22"/>
                <w:szCs w:val="22"/>
              </w:rPr>
              <w:t>项目性质</w:t>
            </w:r>
          </w:p>
        </w:tc>
        <w:tc>
          <w:tcPr>
            <w:tcW w:w="7236" w:type="dxa"/>
            <w:tcBorders>
              <w:top w:val="single" w:color="auto" w:sz="4" w:space="0"/>
              <w:left w:val="nil"/>
              <w:bottom w:val="single" w:color="auto" w:sz="4" w:space="0"/>
              <w:right w:val="single" w:color="auto" w:sz="4" w:space="0"/>
            </w:tcBorders>
            <w:vAlign w:val="center"/>
          </w:tcPr>
          <w:p>
            <w:pPr>
              <w:pStyle w:val="64"/>
              <w:widowControl w:val="0"/>
              <w:spacing w:before="0" w:beforeAutospacing="0" w:after="0" w:afterAutospacing="0" w:line="360" w:lineRule="auto"/>
              <w:jc w:val="both"/>
              <w:rPr>
                <w:rFonts w:cs="Times New Roman"/>
                <w:b w:val="0"/>
                <w:bCs w:val="0"/>
                <w:kern w:val="2"/>
                <w:sz w:val="22"/>
                <w:szCs w:val="22"/>
              </w:rPr>
            </w:pPr>
            <w:r>
              <w:rPr>
                <w:rFonts w:hint="eastAsia"/>
                <w:b w:val="0"/>
                <w:bCs w:val="0"/>
                <w:kern w:val="2"/>
                <w:sz w:val="22"/>
                <w:szCs w:val="22"/>
              </w:rPr>
              <w:t>服务类</w:t>
            </w:r>
          </w:p>
        </w:tc>
      </w:tr>
      <w:tr>
        <w:tblPrEx>
          <w:tblCellMar>
            <w:top w:w="0" w:type="dxa"/>
            <w:left w:w="108" w:type="dxa"/>
            <w:bottom w:w="0" w:type="dxa"/>
            <w:right w:w="108" w:type="dxa"/>
          </w:tblCellMar>
        </w:tblPrEx>
        <w:trPr>
          <w:trHeight w:val="624"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4</w:t>
            </w:r>
          </w:p>
        </w:tc>
        <w:tc>
          <w:tcPr>
            <w:tcW w:w="21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kern w:val="0"/>
                <w:sz w:val="22"/>
                <w:szCs w:val="22"/>
              </w:rPr>
            </w:pPr>
            <w:r>
              <w:rPr>
                <w:rFonts w:hint="eastAsia" w:ascii="宋体" w:hAnsi="宋体" w:cs="宋体"/>
                <w:kern w:val="0"/>
                <w:sz w:val="22"/>
                <w:szCs w:val="22"/>
              </w:rPr>
              <w:t>投标供应商资格审查</w:t>
            </w:r>
          </w:p>
        </w:tc>
        <w:tc>
          <w:tcPr>
            <w:tcW w:w="7236" w:type="dxa"/>
            <w:tcBorders>
              <w:top w:val="single" w:color="auto" w:sz="4" w:space="0"/>
              <w:left w:val="nil"/>
              <w:bottom w:val="single" w:color="auto" w:sz="4" w:space="0"/>
              <w:right w:val="single" w:color="auto" w:sz="4" w:space="0"/>
            </w:tcBorders>
            <w:vAlign w:val="center"/>
          </w:tcPr>
          <w:p>
            <w:pPr>
              <w:widowControl/>
              <w:spacing w:before="156" w:beforeLines="50" w:after="156" w:afterLines="50"/>
              <w:rPr>
                <w:rFonts w:ascii="宋体"/>
                <w:kern w:val="0"/>
                <w:sz w:val="22"/>
                <w:szCs w:val="22"/>
              </w:rPr>
            </w:pPr>
            <w:r>
              <w:rPr>
                <w:rFonts w:hint="eastAsia" w:ascii="宋体" w:hAnsi="宋体" w:cs="宋体"/>
                <w:kern w:val="0"/>
                <w:sz w:val="22"/>
                <w:szCs w:val="22"/>
              </w:rPr>
              <w:t>对投标供应商的资格审查方式：资格后审。</w:t>
            </w:r>
          </w:p>
        </w:tc>
      </w:tr>
      <w:tr>
        <w:tblPrEx>
          <w:tblCellMar>
            <w:top w:w="0" w:type="dxa"/>
            <w:left w:w="108" w:type="dxa"/>
            <w:bottom w:w="0" w:type="dxa"/>
            <w:right w:w="108" w:type="dxa"/>
          </w:tblCellMar>
        </w:tblPrEx>
        <w:trPr>
          <w:trHeight w:val="562"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5</w:t>
            </w:r>
          </w:p>
        </w:tc>
        <w:tc>
          <w:tcPr>
            <w:tcW w:w="21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sz w:val="22"/>
                <w:szCs w:val="22"/>
              </w:rPr>
            </w:pPr>
            <w:r>
              <w:rPr>
                <w:rFonts w:hint="eastAsia" w:ascii="宋体" w:hAnsi="宋体" w:cs="宋体"/>
                <w:sz w:val="22"/>
                <w:szCs w:val="22"/>
              </w:rPr>
              <w:t>投标供应商资质条件、能力</w:t>
            </w:r>
          </w:p>
        </w:tc>
        <w:tc>
          <w:tcPr>
            <w:tcW w:w="7236" w:type="dxa"/>
            <w:tcBorders>
              <w:top w:val="single" w:color="auto" w:sz="4" w:space="0"/>
              <w:left w:val="nil"/>
              <w:bottom w:val="single" w:color="auto" w:sz="4" w:space="0"/>
              <w:right w:val="single" w:color="auto" w:sz="4" w:space="0"/>
            </w:tcBorders>
            <w:vAlign w:val="center"/>
          </w:tcPr>
          <w:p>
            <w:pPr>
              <w:rPr>
                <w:sz w:val="22"/>
                <w:szCs w:val="22"/>
              </w:rPr>
            </w:pPr>
            <w:r>
              <w:rPr>
                <w:rFonts w:hint="eastAsia" w:ascii="宋体" w:hAnsi="宋体" w:cs="宋体"/>
                <w:sz w:val="22"/>
                <w:szCs w:val="22"/>
              </w:rPr>
              <w:t>详见磋商公告</w:t>
            </w:r>
          </w:p>
        </w:tc>
      </w:tr>
      <w:tr>
        <w:trPr>
          <w:trHeight w:val="47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6</w:t>
            </w:r>
          </w:p>
        </w:tc>
        <w:tc>
          <w:tcPr>
            <w:tcW w:w="2112" w:type="dxa"/>
            <w:tcBorders>
              <w:top w:val="single" w:color="auto" w:sz="4" w:space="0"/>
              <w:left w:val="nil"/>
              <w:bottom w:val="single" w:color="auto" w:sz="4" w:space="0"/>
              <w:right w:val="single" w:color="auto" w:sz="4" w:space="0"/>
            </w:tcBorders>
            <w:vAlign w:val="center"/>
          </w:tcPr>
          <w:p>
            <w:pPr>
              <w:spacing w:line="360" w:lineRule="auto"/>
              <w:jc w:val="center"/>
              <w:rPr>
                <w:rFonts w:ascii="宋体"/>
                <w:kern w:val="0"/>
                <w:sz w:val="22"/>
                <w:szCs w:val="22"/>
              </w:rPr>
            </w:pPr>
            <w:r>
              <w:rPr>
                <w:rFonts w:hint="eastAsia" w:ascii="宋体" w:hAnsi="宋体" w:cs="宋体"/>
                <w:sz w:val="22"/>
                <w:szCs w:val="22"/>
              </w:rPr>
              <w:t>联合体磋商</w:t>
            </w:r>
          </w:p>
        </w:tc>
        <w:tc>
          <w:tcPr>
            <w:tcW w:w="7236" w:type="dxa"/>
            <w:tcBorders>
              <w:top w:val="single" w:color="auto" w:sz="4" w:space="0"/>
              <w:left w:val="nil"/>
              <w:bottom w:val="single" w:color="auto" w:sz="4" w:space="0"/>
              <w:right w:val="single" w:color="auto" w:sz="4" w:space="0"/>
            </w:tcBorders>
            <w:vAlign w:val="center"/>
          </w:tcPr>
          <w:p>
            <w:pPr>
              <w:spacing w:line="360" w:lineRule="auto"/>
              <w:rPr>
                <w:rFonts w:ascii="宋体"/>
                <w:b/>
                <w:bCs/>
                <w:kern w:val="0"/>
                <w:sz w:val="22"/>
                <w:szCs w:val="22"/>
              </w:rPr>
            </w:pPr>
            <w:r>
              <w:rPr>
                <w:rFonts w:hint="eastAsia" w:ascii="宋体" w:hAnsi="宋体" w:cs="宋体"/>
                <w:sz w:val="22"/>
                <w:szCs w:val="22"/>
              </w:rPr>
              <w:t>不允许</w:t>
            </w:r>
          </w:p>
        </w:tc>
      </w:tr>
      <w:tr>
        <w:tblPrEx>
          <w:tblCellMar>
            <w:top w:w="0" w:type="dxa"/>
            <w:left w:w="108" w:type="dxa"/>
            <w:bottom w:w="0" w:type="dxa"/>
            <w:right w:w="108" w:type="dxa"/>
          </w:tblCellMar>
        </w:tblPrEx>
        <w:trPr>
          <w:trHeight w:val="54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7</w:t>
            </w:r>
          </w:p>
        </w:tc>
        <w:tc>
          <w:tcPr>
            <w:tcW w:w="2112" w:type="dxa"/>
            <w:tcBorders>
              <w:top w:val="single" w:color="auto" w:sz="4" w:space="0"/>
              <w:left w:val="nil"/>
              <w:bottom w:val="single" w:color="auto" w:sz="4" w:space="0"/>
              <w:right w:val="single" w:color="auto" w:sz="4" w:space="0"/>
            </w:tcBorders>
            <w:vAlign w:val="center"/>
          </w:tcPr>
          <w:p>
            <w:pPr>
              <w:spacing w:line="360" w:lineRule="auto"/>
              <w:jc w:val="center"/>
              <w:rPr>
                <w:rFonts w:ascii="宋体"/>
                <w:sz w:val="22"/>
                <w:szCs w:val="22"/>
              </w:rPr>
            </w:pPr>
            <w:r>
              <w:rPr>
                <w:rFonts w:hint="eastAsia" w:ascii="宋体" w:hAnsi="宋体" w:cs="宋体"/>
                <w:sz w:val="22"/>
                <w:szCs w:val="22"/>
              </w:rPr>
              <w:t>磋商保证金</w:t>
            </w:r>
          </w:p>
        </w:tc>
        <w:tc>
          <w:tcPr>
            <w:tcW w:w="7236" w:type="dxa"/>
            <w:tcBorders>
              <w:top w:val="single" w:color="auto" w:sz="4" w:space="0"/>
              <w:left w:val="nil"/>
              <w:bottom w:val="single" w:color="auto" w:sz="4" w:space="0"/>
              <w:right w:val="single" w:color="auto" w:sz="4" w:space="0"/>
            </w:tcBorders>
            <w:vAlign w:val="center"/>
          </w:tcPr>
          <w:p>
            <w:pPr>
              <w:spacing w:line="240" w:lineRule="atLeast"/>
              <w:rPr>
                <w:rFonts w:ascii="Arial" w:hAnsi="Arial" w:cs="Arial"/>
                <w:sz w:val="22"/>
                <w:szCs w:val="22"/>
              </w:rPr>
            </w:pPr>
            <w:r>
              <w:rPr>
                <w:rFonts w:hint="eastAsia" w:ascii="宋体" w:hAnsi="宋体" w:cs="宋体"/>
                <w:sz w:val="22"/>
                <w:szCs w:val="22"/>
              </w:rPr>
              <w:t>详见磋商公告</w:t>
            </w:r>
          </w:p>
        </w:tc>
      </w:tr>
      <w:tr>
        <w:tblPrEx>
          <w:tblCellMar>
            <w:top w:w="0" w:type="dxa"/>
            <w:left w:w="108" w:type="dxa"/>
            <w:bottom w:w="0" w:type="dxa"/>
            <w:right w:w="108" w:type="dxa"/>
          </w:tblCellMar>
        </w:tblPrEx>
        <w:trPr>
          <w:trHeight w:val="790"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8</w:t>
            </w:r>
          </w:p>
        </w:tc>
        <w:tc>
          <w:tcPr>
            <w:tcW w:w="21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kern w:val="0"/>
                <w:sz w:val="22"/>
                <w:szCs w:val="22"/>
              </w:rPr>
            </w:pPr>
            <w:r>
              <w:rPr>
                <w:rFonts w:hint="eastAsia" w:ascii="宋体" w:hAnsi="宋体" w:cs="宋体"/>
                <w:kern w:val="0"/>
                <w:sz w:val="22"/>
                <w:szCs w:val="22"/>
              </w:rPr>
              <w:t>投标供应商提出问题的截止时间</w:t>
            </w:r>
          </w:p>
        </w:tc>
        <w:tc>
          <w:tcPr>
            <w:tcW w:w="7236"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Arial" w:hAnsi="Arial" w:cs="Arial"/>
                <w:b/>
                <w:bCs/>
                <w:sz w:val="22"/>
                <w:szCs w:val="22"/>
              </w:rPr>
            </w:pPr>
            <w:r>
              <w:rPr>
                <w:rFonts w:hint="eastAsia" w:ascii="宋体" w:hAnsi="宋体" w:cs="宋体"/>
                <w:kern w:val="0"/>
                <w:sz w:val="22"/>
                <w:szCs w:val="22"/>
              </w:rPr>
              <w:t>在知道或者应知其权益受到损害之日起7个工作日内，以书面形式向采购代理机构提出质疑</w:t>
            </w:r>
          </w:p>
        </w:tc>
      </w:tr>
      <w:tr>
        <w:tblPrEx>
          <w:tblCellMar>
            <w:top w:w="0" w:type="dxa"/>
            <w:left w:w="108" w:type="dxa"/>
            <w:bottom w:w="0" w:type="dxa"/>
            <w:right w:w="108" w:type="dxa"/>
          </w:tblCellMar>
        </w:tblPrEx>
        <w:trPr>
          <w:trHeight w:val="1307"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9</w:t>
            </w:r>
          </w:p>
        </w:tc>
        <w:tc>
          <w:tcPr>
            <w:tcW w:w="21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kern w:val="0"/>
                <w:sz w:val="22"/>
                <w:szCs w:val="22"/>
              </w:rPr>
            </w:pPr>
            <w:r>
              <w:rPr>
                <w:rFonts w:hint="eastAsia" w:ascii="宋体" w:hAnsi="宋体" w:cs="宋体"/>
                <w:kern w:val="0"/>
                <w:sz w:val="22"/>
                <w:szCs w:val="22"/>
              </w:rPr>
              <w:t>书面答疑、澄清的时间</w:t>
            </w:r>
          </w:p>
        </w:tc>
        <w:tc>
          <w:tcPr>
            <w:tcW w:w="7236" w:type="dxa"/>
            <w:tcBorders>
              <w:top w:val="single" w:color="auto" w:sz="4" w:space="0"/>
              <w:left w:val="nil"/>
              <w:bottom w:val="single" w:color="auto" w:sz="4" w:space="0"/>
              <w:right w:val="single" w:color="auto" w:sz="4" w:space="0"/>
            </w:tcBorders>
            <w:vAlign w:val="center"/>
          </w:tcPr>
          <w:p>
            <w:pPr>
              <w:widowControl/>
              <w:spacing w:before="156" w:beforeLines="50" w:after="156" w:afterLines="50"/>
              <w:rPr>
                <w:rFonts w:ascii="宋体"/>
                <w:kern w:val="0"/>
                <w:sz w:val="22"/>
                <w:szCs w:val="22"/>
              </w:rPr>
            </w:pPr>
            <w:r>
              <w:rPr>
                <w:rFonts w:hint="eastAsia" w:ascii="Arial" w:hAnsi="Arial" w:cs="宋体"/>
                <w:b/>
                <w:bCs/>
                <w:sz w:val="22"/>
                <w:szCs w:val="22"/>
              </w:rPr>
              <w:t>投标供应商请注意：</w:t>
            </w:r>
            <w:r>
              <w:rPr>
                <w:rFonts w:hint="eastAsia" w:ascii="Arial" w:hAnsi="Arial" w:cs="宋体"/>
                <w:sz w:val="22"/>
                <w:szCs w:val="22"/>
              </w:rPr>
              <w:t>对磋商文件进行的答疑、澄清、变更或补充，将在网站上及时发布，该公告内容为竞争性磋商文件的组成部分，对投标供应商具有同样约束力。投标供应商应主动上网查询。采购人和安徽鼎信项目管理股份有限公司不承担投标供应商未及时关注相关信息引发的相关责任。</w:t>
            </w:r>
          </w:p>
        </w:tc>
      </w:tr>
      <w:tr>
        <w:tblPrEx>
          <w:tblCellMar>
            <w:top w:w="0" w:type="dxa"/>
            <w:left w:w="108" w:type="dxa"/>
            <w:bottom w:w="0" w:type="dxa"/>
            <w:right w:w="108" w:type="dxa"/>
          </w:tblCellMar>
        </w:tblPrEx>
        <w:trPr>
          <w:trHeight w:val="47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10</w:t>
            </w:r>
          </w:p>
        </w:tc>
        <w:tc>
          <w:tcPr>
            <w:tcW w:w="2112" w:type="dxa"/>
            <w:tcBorders>
              <w:top w:val="single" w:color="auto" w:sz="4" w:space="0"/>
              <w:left w:val="nil"/>
              <w:bottom w:val="single" w:color="auto" w:sz="4" w:space="0"/>
              <w:right w:val="single" w:color="auto" w:sz="4" w:space="0"/>
            </w:tcBorders>
            <w:vAlign w:val="center"/>
          </w:tcPr>
          <w:p>
            <w:pPr>
              <w:spacing w:line="360" w:lineRule="auto"/>
              <w:jc w:val="center"/>
              <w:rPr>
                <w:rFonts w:ascii="宋体"/>
                <w:sz w:val="22"/>
                <w:szCs w:val="22"/>
              </w:rPr>
            </w:pPr>
            <w:r>
              <w:rPr>
                <w:rFonts w:hint="eastAsia" w:ascii="宋体" w:hAnsi="宋体" w:cs="宋体"/>
                <w:sz w:val="22"/>
                <w:szCs w:val="22"/>
              </w:rPr>
              <w:t>响应文件份数及要求</w:t>
            </w:r>
          </w:p>
        </w:tc>
        <w:tc>
          <w:tcPr>
            <w:tcW w:w="7236" w:type="dxa"/>
            <w:tcBorders>
              <w:top w:val="single" w:color="auto" w:sz="4" w:space="0"/>
              <w:left w:val="nil"/>
              <w:bottom w:val="single" w:color="auto" w:sz="4" w:space="0"/>
              <w:right w:val="single" w:color="auto" w:sz="4" w:space="0"/>
            </w:tcBorders>
            <w:vAlign w:val="center"/>
          </w:tcPr>
          <w:p>
            <w:pPr>
              <w:spacing w:line="360" w:lineRule="auto"/>
              <w:rPr>
                <w:rFonts w:ascii="宋体"/>
                <w:sz w:val="22"/>
                <w:szCs w:val="22"/>
              </w:rPr>
            </w:pPr>
            <w:r>
              <w:rPr>
                <w:rFonts w:hint="eastAsia" w:ascii="宋体" w:hAnsi="宋体" w:cs="宋体"/>
                <w:sz w:val="22"/>
                <w:szCs w:val="22"/>
              </w:rPr>
              <w:t>正本</w:t>
            </w:r>
            <w:r>
              <w:rPr>
                <w:rFonts w:ascii="宋体" w:hAnsi="宋体" w:cs="宋体"/>
                <w:sz w:val="22"/>
                <w:szCs w:val="22"/>
              </w:rPr>
              <w:t xml:space="preserve"> 1 </w:t>
            </w:r>
            <w:r>
              <w:rPr>
                <w:rFonts w:hint="eastAsia" w:ascii="宋体" w:hAnsi="宋体" w:cs="宋体"/>
                <w:sz w:val="22"/>
                <w:szCs w:val="22"/>
              </w:rPr>
              <w:t>份；副本</w:t>
            </w:r>
            <w:r>
              <w:rPr>
                <w:rFonts w:ascii="宋体" w:hAnsi="宋体" w:cs="宋体"/>
                <w:sz w:val="22"/>
                <w:szCs w:val="22"/>
              </w:rPr>
              <w:t xml:space="preserve"> </w:t>
            </w:r>
            <w:r>
              <w:rPr>
                <w:rFonts w:hint="eastAsia" w:ascii="宋体" w:hAnsi="宋体" w:cs="宋体"/>
                <w:sz w:val="22"/>
                <w:szCs w:val="22"/>
              </w:rPr>
              <w:t>2</w:t>
            </w:r>
            <w:r>
              <w:rPr>
                <w:rFonts w:ascii="宋体" w:hAnsi="宋体" w:cs="宋体"/>
                <w:sz w:val="22"/>
                <w:szCs w:val="22"/>
              </w:rPr>
              <w:t xml:space="preserve"> </w:t>
            </w:r>
            <w:r>
              <w:rPr>
                <w:rFonts w:hint="eastAsia" w:ascii="宋体" w:hAnsi="宋体" w:cs="宋体"/>
                <w:sz w:val="22"/>
                <w:szCs w:val="22"/>
              </w:rPr>
              <w:t>份；电子版文件（正本扫描件）</w:t>
            </w:r>
            <w:r>
              <w:rPr>
                <w:rFonts w:ascii="宋体" w:hAnsi="宋体" w:cs="宋体"/>
                <w:sz w:val="22"/>
                <w:szCs w:val="22"/>
              </w:rPr>
              <w:t xml:space="preserve">1 </w:t>
            </w:r>
            <w:r>
              <w:rPr>
                <w:rFonts w:hint="eastAsia" w:ascii="宋体" w:hAnsi="宋体" w:cs="宋体"/>
                <w:sz w:val="22"/>
                <w:szCs w:val="22"/>
              </w:rPr>
              <w:t>份，密封提交。</w:t>
            </w:r>
          </w:p>
        </w:tc>
      </w:tr>
      <w:tr>
        <w:tblPrEx>
          <w:tblCellMar>
            <w:top w:w="0" w:type="dxa"/>
            <w:left w:w="108" w:type="dxa"/>
            <w:bottom w:w="0" w:type="dxa"/>
            <w:right w:w="108" w:type="dxa"/>
          </w:tblCellMar>
        </w:tblPrEx>
        <w:trPr>
          <w:trHeight w:val="47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11</w:t>
            </w:r>
          </w:p>
        </w:tc>
        <w:tc>
          <w:tcPr>
            <w:tcW w:w="2112" w:type="dxa"/>
            <w:tcBorders>
              <w:top w:val="single" w:color="auto" w:sz="4" w:space="0"/>
              <w:left w:val="nil"/>
              <w:bottom w:val="single" w:color="auto" w:sz="4" w:space="0"/>
              <w:right w:val="single" w:color="auto" w:sz="4" w:space="0"/>
            </w:tcBorders>
            <w:vAlign w:val="center"/>
          </w:tcPr>
          <w:p>
            <w:pPr>
              <w:spacing w:line="360" w:lineRule="auto"/>
              <w:jc w:val="center"/>
              <w:rPr>
                <w:rFonts w:ascii="宋体"/>
                <w:sz w:val="22"/>
                <w:szCs w:val="22"/>
              </w:rPr>
            </w:pPr>
            <w:r>
              <w:rPr>
                <w:rFonts w:hint="eastAsia" w:ascii="宋体" w:hAnsi="宋体" w:cs="宋体"/>
                <w:sz w:val="22"/>
                <w:szCs w:val="22"/>
              </w:rPr>
              <w:t>装订要求</w:t>
            </w:r>
          </w:p>
        </w:tc>
        <w:tc>
          <w:tcPr>
            <w:tcW w:w="7236" w:type="dxa"/>
            <w:tcBorders>
              <w:top w:val="single" w:color="auto" w:sz="4" w:space="0"/>
              <w:left w:val="nil"/>
              <w:bottom w:val="single" w:color="auto" w:sz="4" w:space="0"/>
              <w:right w:val="single" w:color="auto" w:sz="4" w:space="0"/>
            </w:tcBorders>
            <w:vAlign w:val="center"/>
          </w:tcPr>
          <w:p>
            <w:pPr>
              <w:spacing w:line="360" w:lineRule="auto"/>
              <w:rPr>
                <w:rFonts w:ascii="宋体"/>
                <w:b/>
                <w:bCs/>
                <w:sz w:val="22"/>
                <w:szCs w:val="22"/>
              </w:rPr>
            </w:pPr>
            <w:r>
              <w:rPr>
                <w:rFonts w:hint="eastAsia" w:ascii="宋体" w:hAnsi="宋体" w:cs="宋体"/>
                <w:b/>
                <w:bCs/>
                <w:sz w:val="22"/>
                <w:szCs w:val="22"/>
              </w:rPr>
              <w:t>标书必须使用胶装，以线装及活页卡扣式的装订的标书将视为无效。</w:t>
            </w:r>
          </w:p>
        </w:tc>
      </w:tr>
      <w:tr>
        <w:tblPrEx>
          <w:tblCellMar>
            <w:top w:w="0" w:type="dxa"/>
            <w:left w:w="108" w:type="dxa"/>
            <w:bottom w:w="0" w:type="dxa"/>
            <w:right w:w="108" w:type="dxa"/>
          </w:tblCellMar>
        </w:tblPrEx>
        <w:trPr>
          <w:trHeight w:val="47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12</w:t>
            </w:r>
          </w:p>
        </w:tc>
        <w:tc>
          <w:tcPr>
            <w:tcW w:w="2112" w:type="dxa"/>
            <w:tcBorders>
              <w:top w:val="single" w:color="auto" w:sz="4" w:space="0"/>
              <w:left w:val="nil"/>
              <w:bottom w:val="single" w:color="auto" w:sz="4" w:space="0"/>
              <w:right w:val="single" w:color="auto" w:sz="4" w:space="0"/>
            </w:tcBorders>
            <w:vAlign w:val="center"/>
          </w:tcPr>
          <w:p>
            <w:pPr>
              <w:spacing w:line="360" w:lineRule="auto"/>
              <w:jc w:val="center"/>
              <w:rPr>
                <w:rFonts w:ascii="宋体"/>
                <w:sz w:val="22"/>
                <w:szCs w:val="22"/>
              </w:rPr>
            </w:pPr>
            <w:r>
              <w:rPr>
                <w:rFonts w:hint="eastAsia" w:ascii="宋体" w:hAnsi="宋体" w:cs="宋体"/>
                <w:sz w:val="22"/>
                <w:szCs w:val="22"/>
              </w:rPr>
              <w:t>评审办法</w:t>
            </w:r>
          </w:p>
        </w:tc>
        <w:tc>
          <w:tcPr>
            <w:tcW w:w="7236" w:type="dxa"/>
            <w:tcBorders>
              <w:top w:val="single" w:color="auto" w:sz="4" w:space="0"/>
              <w:left w:val="nil"/>
              <w:bottom w:val="single" w:color="auto" w:sz="4" w:space="0"/>
              <w:right w:val="single" w:color="auto" w:sz="4" w:space="0"/>
            </w:tcBorders>
            <w:vAlign w:val="center"/>
          </w:tcPr>
          <w:p>
            <w:pPr>
              <w:spacing w:line="360" w:lineRule="auto"/>
              <w:rPr>
                <w:rFonts w:ascii="宋体"/>
                <w:sz w:val="22"/>
                <w:szCs w:val="22"/>
              </w:rPr>
            </w:pPr>
            <w:r>
              <w:rPr>
                <w:rFonts w:hint="eastAsia" w:ascii="宋体" w:hAnsi="宋体" w:cs="宋体"/>
                <w:sz w:val="22"/>
                <w:szCs w:val="22"/>
              </w:rPr>
              <w:t>详见磋商文件</w:t>
            </w:r>
          </w:p>
        </w:tc>
      </w:tr>
      <w:tr>
        <w:tblPrEx>
          <w:tblCellMar>
            <w:top w:w="0" w:type="dxa"/>
            <w:left w:w="108" w:type="dxa"/>
            <w:bottom w:w="0" w:type="dxa"/>
            <w:right w:w="108" w:type="dxa"/>
          </w:tblCellMar>
        </w:tblPrEx>
        <w:trPr>
          <w:trHeight w:val="47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1</w:t>
            </w:r>
            <w:r>
              <w:rPr>
                <w:rFonts w:ascii="宋体" w:hAnsi="宋体" w:cs="宋体"/>
                <w:sz w:val="22"/>
                <w:szCs w:val="22"/>
              </w:rPr>
              <w:t>3</w:t>
            </w:r>
          </w:p>
        </w:tc>
        <w:tc>
          <w:tcPr>
            <w:tcW w:w="2112" w:type="dxa"/>
            <w:tcBorders>
              <w:top w:val="single" w:color="auto" w:sz="4" w:space="0"/>
              <w:left w:val="nil"/>
              <w:bottom w:val="single" w:color="auto" w:sz="4" w:space="0"/>
              <w:right w:val="single" w:color="auto" w:sz="4" w:space="0"/>
            </w:tcBorders>
            <w:vAlign w:val="center"/>
          </w:tcPr>
          <w:p>
            <w:pPr>
              <w:spacing w:line="360" w:lineRule="auto"/>
              <w:jc w:val="center"/>
            </w:pPr>
            <w:r>
              <w:rPr>
                <w:rFonts w:hint="eastAsia" w:ascii="宋体" w:hAnsi="宋体" w:cs="宋体"/>
                <w:sz w:val="22"/>
                <w:szCs w:val="22"/>
              </w:rPr>
              <w:t>付款方式</w:t>
            </w:r>
          </w:p>
        </w:tc>
        <w:tc>
          <w:tcPr>
            <w:tcW w:w="7236"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sz w:val="22"/>
                <w:szCs w:val="22"/>
                <w:lang w:eastAsia="zh-CN"/>
              </w:rPr>
            </w:pPr>
            <w:r>
              <w:rPr>
                <w:rFonts w:hint="eastAsia" w:ascii="宋体" w:hAnsi="宋体" w:cs="宋体"/>
                <w:sz w:val="22"/>
                <w:szCs w:val="22"/>
              </w:rPr>
              <w:t>设备到货开箱验收通过后付合同价的50%，试运行付合同价的30%，正式运行付合同价的20%</w:t>
            </w:r>
            <w:r>
              <w:rPr>
                <w:rFonts w:hint="eastAsia" w:ascii="宋体" w:hAnsi="宋体" w:cs="宋体"/>
                <w:sz w:val="22"/>
                <w:szCs w:val="22"/>
                <w:lang w:eastAsia="zh-CN"/>
              </w:rPr>
              <w:t>。</w:t>
            </w:r>
          </w:p>
        </w:tc>
      </w:tr>
      <w:tr>
        <w:tblPrEx>
          <w:tblCellMar>
            <w:top w:w="0" w:type="dxa"/>
            <w:left w:w="108" w:type="dxa"/>
            <w:bottom w:w="0" w:type="dxa"/>
            <w:right w:w="108" w:type="dxa"/>
          </w:tblCellMar>
        </w:tblPrEx>
        <w:trPr>
          <w:trHeight w:val="876"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14</w:t>
            </w:r>
          </w:p>
        </w:tc>
        <w:tc>
          <w:tcPr>
            <w:tcW w:w="2112" w:type="dxa"/>
            <w:tcBorders>
              <w:top w:val="single" w:color="auto" w:sz="4" w:space="0"/>
              <w:left w:val="nil"/>
              <w:bottom w:val="single" w:color="auto" w:sz="4" w:space="0"/>
              <w:right w:val="single" w:color="auto" w:sz="4" w:space="0"/>
            </w:tcBorders>
            <w:vAlign w:val="center"/>
          </w:tcPr>
          <w:p>
            <w:pPr>
              <w:spacing w:line="440" w:lineRule="exact"/>
              <w:jc w:val="center"/>
              <w:rPr>
                <w:sz w:val="22"/>
                <w:szCs w:val="22"/>
              </w:rPr>
            </w:pPr>
            <w:r>
              <w:rPr>
                <w:rFonts w:hint="eastAsia" w:cs="宋体"/>
                <w:sz w:val="22"/>
                <w:szCs w:val="22"/>
              </w:rPr>
              <w:t>构成响应文件的其他材料</w:t>
            </w:r>
          </w:p>
        </w:tc>
        <w:tc>
          <w:tcPr>
            <w:tcW w:w="7236" w:type="dxa"/>
            <w:tcBorders>
              <w:top w:val="single" w:color="auto" w:sz="4" w:space="0"/>
              <w:left w:val="nil"/>
              <w:bottom w:val="single" w:color="auto" w:sz="4" w:space="0"/>
              <w:right w:val="single" w:color="auto" w:sz="4" w:space="0"/>
            </w:tcBorders>
            <w:vAlign w:val="center"/>
          </w:tcPr>
          <w:p>
            <w:pPr>
              <w:spacing w:line="440" w:lineRule="exact"/>
              <w:rPr>
                <w:rFonts w:hint="default" w:ascii="宋体" w:eastAsia="宋体"/>
                <w:sz w:val="22"/>
                <w:szCs w:val="22"/>
                <w:lang w:val="en-US" w:eastAsia="zh-CN"/>
              </w:rPr>
            </w:pPr>
            <w:r>
              <w:rPr>
                <w:rFonts w:hint="eastAsia" w:ascii="宋体" w:hAnsi="宋体" w:cs="宋体"/>
                <w:sz w:val="22"/>
                <w:szCs w:val="22"/>
                <w:lang w:val="en-US" w:eastAsia="zh-CN"/>
              </w:rPr>
              <w:t>详见磋商文件</w:t>
            </w:r>
          </w:p>
        </w:tc>
      </w:tr>
      <w:tr>
        <w:tblPrEx>
          <w:tblCellMar>
            <w:top w:w="0" w:type="dxa"/>
            <w:left w:w="108" w:type="dxa"/>
            <w:bottom w:w="0" w:type="dxa"/>
            <w:right w:w="108" w:type="dxa"/>
          </w:tblCellMar>
        </w:tblPrEx>
        <w:trPr>
          <w:trHeight w:val="47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15</w:t>
            </w:r>
          </w:p>
        </w:tc>
        <w:tc>
          <w:tcPr>
            <w:tcW w:w="2112" w:type="dxa"/>
            <w:tcBorders>
              <w:top w:val="single" w:color="auto" w:sz="4" w:space="0"/>
              <w:left w:val="nil"/>
              <w:bottom w:val="single" w:color="auto" w:sz="4" w:space="0"/>
              <w:right w:val="single" w:color="auto" w:sz="4" w:space="0"/>
            </w:tcBorders>
            <w:vAlign w:val="center"/>
          </w:tcPr>
          <w:p>
            <w:pPr>
              <w:spacing w:line="440" w:lineRule="exact"/>
              <w:jc w:val="center"/>
              <w:rPr>
                <w:sz w:val="22"/>
                <w:szCs w:val="22"/>
              </w:rPr>
            </w:pPr>
            <w:r>
              <w:rPr>
                <w:rFonts w:hint="eastAsia" w:cs="宋体"/>
                <w:sz w:val="22"/>
                <w:szCs w:val="22"/>
              </w:rPr>
              <w:t>磋商截止时间</w:t>
            </w:r>
          </w:p>
        </w:tc>
        <w:tc>
          <w:tcPr>
            <w:tcW w:w="7236" w:type="dxa"/>
            <w:tcBorders>
              <w:top w:val="single" w:color="auto" w:sz="4" w:space="0"/>
              <w:left w:val="nil"/>
              <w:bottom w:val="single" w:color="auto" w:sz="4" w:space="0"/>
              <w:right w:val="single" w:color="auto" w:sz="4" w:space="0"/>
            </w:tcBorders>
            <w:vAlign w:val="center"/>
          </w:tcPr>
          <w:p>
            <w:pPr>
              <w:spacing w:line="440" w:lineRule="exact"/>
              <w:rPr>
                <w:rFonts w:ascii="宋体"/>
                <w:sz w:val="22"/>
                <w:szCs w:val="22"/>
              </w:rPr>
            </w:pPr>
            <w:r>
              <w:rPr>
                <w:rFonts w:hint="eastAsia" w:ascii="宋体" w:hAnsi="宋体" w:cs="宋体"/>
                <w:sz w:val="22"/>
                <w:szCs w:val="22"/>
              </w:rPr>
              <w:t>详见磋商公告</w:t>
            </w:r>
          </w:p>
        </w:tc>
      </w:tr>
      <w:tr>
        <w:tblPrEx>
          <w:tblCellMar>
            <w:top w:w="0" w:type="dxa"/>
            <w:left w:w="108" w:type="dxa"/>
            <w:bottom w:w="0" w:type="dxa"/>
            <w:right w:w="108" w:type="dxa"/>
          </w:tblCellMar>
        </w:tblPrEx>
        <w:trPr>
          <w:trHeight w:val="174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16</w:t>
            </w:r>
          </w:p>
        </w:tc>
        <w:tc>
          <w:tcPr>
            <w:tcW w:w="2112" w:type="dxa"/>
            <w:tcBorders>
              <w:top w:val="single" w:color="auto" w:sz="4" w:space="0"/>
              <w:left w:val="nil"/>
              <w:bottom w:val="single" w:color="auto" w:sz="4" w:space="0"/>
              <w:right w:val="single" w:color="auto" w:sz="4" w:space="0"/>
            </w:tcBorders>
            <w:vAlign w:val="center"/>
          </w:tcPr>
          <w:p>
            <w:pPr>
              <w:spacing w:line="440" w:lineRule="exact"/>
              <w:jc w:val="center"/>
              <w:rPr>
                <w:sz w:val="22"/>
                <w:szCs w:val="22"/>
              </w:rPr>
            </w:pPr>
            <w:r>
              <w:rPr>
                <w:rFonts w:hint="eastAsia" w:cs="宋体"/>
                <w:sz w:val="22"/>
                <w:szCs w:val="22"/>
              </w:rPr>
              <w:t>签字或盖章要求</w:t>
            </w:r>
          </w:p>
        </w:tc>
        <w:tc>
          <w:tcPr>
            <w:tcW w:w="7236" w:type="dxa"/>
            <w:tcBorders>
              <w:top w:val="single" w:color="auto" w:sz="4" w:space="0"/>
              <w:left w:val="nil"/>
              <w:bottom w:val="single" w:color="auto" w:sz="4" w:space="0"/>
              <w:right w:val="single" w:color="auto" w:sz="4" w:space="0"/>
            </w:tcBorders>
            <w:vAlign w:val="center"/>
          </w:tcPr>
          <w:p>
            <w:pPr>
              <w:spacing w:line="440" w:lineRule="exact"/>
              <w:rPr>
                <w:rFonts w:ascii="宋体"/>
                <w:sz w:val="22"/>
                <w:szCs w:val="22"/>
              </w:rPr>
            </w:pPr>
            <w:r>
              <w:rPr>
                <w:rFonts w:hint="eastAsia" w:ascii="宋体" w:hAnsi="宋体" w:cs="宋体"/>
                <w:sz w:val="22"/>
                <w:szCs w:val="22"/>
              </w:rPr>
              <w:t>（</w:t>
            </w:r>
            <w:r>
              <w:rPr>
                <w:sz w:val="22"/>
                <w:szCs w:val="22"/>
              </w:rPr>
              <w:t>1</w:t>
            </w:r>
            <w:r>
              <w:rPr>
                <w:rFonts w:hint="eastAsia" w:ascii="宋体" w:hAnsi="宋体" w:cs="宋体"/>
                <w:sz w:val="22"/>
                <w:szCs w:val="22"/>
              </w:rPr>
              <w:t>）响应文件的内容均须经投标供应商法定代表人或其授权的代理人签字或盖单位章确认。</w:t>
            </w:r>
          </w:p>
          <w:p>
            <w:pPr>
              <w:spacing w:line="440" w:lineRule="exact"/>
              <w:rPr>
                <w:rFonts w:ascii="宋体"/>
                <w:sz w:val="22"/>
                <w:szCs w:val="22"/>
              </w:rPr>
            </w:pPr>
            <w:r>
              <w:rPr>
                <w:rFonts w:hint="eastAsia" w:ascii="宋体" w:hAnsi="宋体" w:cs="宋体"/>
                <w:sz w:val="22"/>
                <w:szCs w:val="22"/>
              </w:rPr>
              <w:t>（</w:t>
            </w:r>
            <w:r>
              <w:rPr>
                <w:sz w:val="22"/>
                <w:szCs w:val="22"/>
              </w:rPr>
              <w:t>2</w:t>
            </w:r>
            <w:r>
              <w:rPr>
                <w:rFonts w:hint="eastAsia" w:ascii="宋体" w:hAnsi="宋体" w:cs="宋体"/>
                <w:sz w:val="22"/>
                <w:szCs w:val="22"/>
              </w:rPr>
              <w:t>）响应文件中如有修改痕迹，必须加盖单位章或由投标供应商的法定代表人或其授权的代理人签字确认；</w:t>
            </w:r>
          </w:p>
        </w:tc>
      </w:tr>
      <w:tr>
        <w:tblPrEx>
          <w:tblCellMar>
            <w:top w:w="0" w:type="dxa"/>
            <w:left w:w="108" w:type="dxa"/>
            <w:bottom w:w="0" w:type="dxa"/>
            <w:right w:w="108" w:type="dxa"/>
          </w:tblCellMar>
        </w:tblPrEx>
        <w:trPr>
          <w:trHeight w:val="174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17</w:t>
            </w:r>
          </w:p>
        </w:tc>
        <w:tc>
          <w:tcPr>
            <w:tcW w:w="2112" w:type="dxa"/>
            <w:tcBorders>
              <w:top w:val="single" w:color="auto" w:sz="4" w:space="0"/>
              <w:left w:val="nil"/>
              <w:bottom w:val="single" w:color="auto" w:sz="4" w:space="0"/>
              <w:right w:val="single" w:color="auto" w:sz="4" w:space="0"/>
            </w:tcBorders>
            <w:vAlign w:val="center"/>
          </w:tcPr>
          <w:p>
            <w:pPr>
              <w:spacing w:line="440" w:lineRule="exact"/>
              <w:jc w:val="center"/>
              <w:rPr>
                <w:sz w:val="22"/>
                <w:szCs w:val="22"/>
              </w:rPr>
            </w:pPr>
            <w:r>
              <w:rPr>
                <w:rFonts w:hint="eastAsia" w:cs="宋体"/>
                <w:sz w:val="22"/>
                <w:szCs w:val="22"/>
              </w:rPr>
              <w:t>封套上</w:t>
            </w:r>
            <w:r>
              <w:rPr>
                <w:rFonts w:hint="eastAsia" w:ascii="宋体" w:hAnsi="宋体" w:cs="宋体"/>
                <w:sz w:val="22"/>
                <w:szCs w:val="22"/>
              </w:rPr>
              <w:t>应载明的信息</w:t>
            </w:r>
          </w:p>
        </w:tc>
        <w:tc>
          <w:tcPr>
            <w:tcW w:w="7236" w:type="dxa"/>
            <w:tcBorders>
              <w:top w:val="single" w:color="auto" w:sz="4" w:space="0"/>
              <w:left w:val="nil"/>
              <w:bottom w:val="single" w:color="auto" w:sz="4" w:space="0"/>
              <w:right w:val="single" w:color="auto" w:sz="4" w:space="0"/>
            </w:tcBorders>
            <w:vAlign w:val="center"/>
          </w:tcPr>
          <w:p>
            <w:pPr>
              <w:spacing w:line="440" w:lineRule="exact"/>
              <w:rPr>
                <w:sz w:val="22"/>
                <w:szCs w:val="22"/>
              </w:rPr>
            </w:pPr>
            <w:r>
              <w:rPr>
                <w:rFonts w:hint="eastAsia" w:cs="宋体"/>
                <w:sz w:val="22"/>
                <w:szCs w:val="22"/>
              </w:rPr>
              <w:t>投标供应商地址：</w:t>
            </w:r>
          </w:p>
          <w:p>
            <w:pPr>
              <w:spacing w:line="440" w:lineRule="exact"/>
              <w:rPr>
                <w:sz w:val="22"/>
                <w:szCs w:val="22"/>
              </w:rPr>
            </w:pPr>
            <w:r>
              <w:rPr>
                <w:rFonts w:hint="eastAsia" w:cs="宋体"/>
                <w:sz w:val="22"/>
                <w:szCs w:val="22"/>
              </w:rPr>
              <w:t>投标供应商名称：</w:t>
            </w:r>
          </w:p>
          <w:p>
            <w:pPr>
              <w:spacing w:line="440" w:lineRule="exact"/>
              <w:rPr>
                <w:sz w:val="22"/>
                <w:szCs w:val="22"/>
              </w:rPr>
            </w:pPr>
            <w:r>
              <w:rPr>
                <w:rFonts w:hint="eastAsia" w:cs="宋体"/>
                <w:sz w:val="22"/>
                <w:szCs w:val="22"/>
              </w:rPr>
              <w:t>（项目名称）响应文件</w:t>
            </w:r>
          </w:p>
          <w:p>
            <w:pPr>
              <w:spacing w:line="440" w:lineRule="exact"/>
              <w:rPr>
                <w:sz w:val="22"/>
                <w:szCs w:val="22"/>
              </w:rPr>
            </w:pPr>
            <w:r>
              <w:rPr>
                <w:rFonts w:hint="eastAsia" w:cs="宋体"/>
                <w:sz w:val="22"/>
                <w:szCs w:val="22"/>
              </w:rPr>
              <w:t>在</w:t>
            </w:r>
            <w:r>
              <w:rPr>
                <w:rFonts w:hint="eastAsia"/>
                <w:sz w:val="22"/>
                <w:szCs w:val="22"/>
                <w:u w:val="single"/>
                <w:lang w:eastAsia="zh-CN"/>
              </w:rPr>
              <w:t>2022年</w:t>
            </w:r>
            <w:r>
              <w:rPr>
                <w:sz w:val="22"/>
                <w:szCs w:val="22"/>
                <w:u w:val="single"/>
              </w:rPr>
              <w:t xml:space="preserve">    </w:t>
            </w:r>
            <w:r>
              <w:rPr>
                <w:rFonts w:hint="eastAsia" w:cs="宋体"/>
                <w:sz w:val="22"/>
                <w:szCs w:val="22"/>
              </w:rPr>
              <w:t>月</w:t>
            </w:r>
            <w:r>
              <w:rPr>
                <w:sz w:val="22"/>
                <w:szCs w:val="22"/>
                <w:u w:val="single"/>
              </w:rPr>
              <w:t xml:space="preserve">   </w:t>
            </w:r>
            <w:r>
              <w:rPr>
                <w:rFonts w:hint="eastAsia" w:cs="宋体"/>
                <w:sz w:val="22"/>
                <w:szCs w:val="22"/>
              </w:rPr>
              <w:t>日</w:t>
            </w:r>
            <w:r>
              <w:rPr>
                <w:sz w:val="22"/>
                <w:szCs w:val="22"/>
                <w:u w:val="single"/>
              </w:rPr>
              <w:t xml:space="preserve">    </w:t>
            </w:r>
            <w:r>
              <w:rPr>
                <w:rFonts w:hint="eastAsia" w:cs="宋体"/>
                <w:sz w:val="22"/>
                <w:szCs w:val="22"/>
              </w:rPr>
              <w:t>时</w:t>
            </w:r>
            <w:r>
              <w:rPr>
                <w:sz w:val="22"/>
                <w:szCs w:val="22"/>
                <w:u w:val="single"/>
              </w:rPr>
              <w:t xml:space="preserve">    </w:t>
            </w:r>
            <w:r>
              <w:rPr>
                <w:rFonts w:hint="eastAsia" w:ascii="宋体" w:hAnsi="宋体" w:cs="宋体"/>
                <w:sz w:val="22"/>
                <w:szCs w:val="22"/>
              </w:rPr>
              <w:t>分</w:t>
            </w:r>
            <w:r>
              <w:rPr>
                <w:rFonts w:hint="eastAsia" w:cs="宋体"/>
                <w:sz w:val="22"/>
                <w:szCs w:val="22"/>
              </w:rPr>
              <w:t>前不得开启</w:t>
            </w:r>
          </w:p>
        </w:tc>
      </w:tr>
      <w:tr>
        <w:tblPrEx>
          <w:tblCellMar>
            <w:top w:w="0" w:type="dxa"/>
            <w:left w:w="108" w:type="dxa"/>
            <w:bottom w:w="0" w:type="dxa"/>
            <w:right w:w="108" w:type="dxa"/>
          </w:tblCellMar>
        </w:tblPrEx>
        <w:trPr>
          <w:trHeight w:val="47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18</w:t>
            </w:r>
          </w:p>
        </w:tc>
        <w:tc>
          <w:tcPr>
            <w:tcW w:w="2112" w:type="dxa"/>
            <w:tcBorders>
              <w:top w:val="single" w:color="auto" w:sz="4" w:space="0"/>
              <w:left w:val="nil"/>
              <w:bottom w:val="single" w:color="auto" w:sz="4" w:space="0"/>
              <w:right w:val="single" w:color="auto" w:sz="4" w:space="0"/>
            </w:tcBorders>
            <w:vAlign w:val="center"/>
          </w:tcPr>
          <w:p>
            <w:pPr>
              <w:spacing w:line="440" w:lineRule="exact"/>
              <w:jc w:val="center"/>
              <w:rPr>
                <w:sz w:val="22"/>
                <w:szCs w:val="22"/>
              </w:rPr>
            </w:pPr>
            <w:r>
              <w:rPr>
                <w:rFonts w:hint="eastAsia" w:cs="宋体"/>
                <w:sz w:val="22"/>
                <w:szCs w:val="22"/>
              </w:rPr>
              <w:t>递交响应文件地点</w:t>
            </w:r>
          </w:p>
        </w:tc>
        <w:tc>
          <w:tcPr>
            <w:tcW w:w="7236" w:type="dxa"/>
            <w:tcBorders>
              <w:top w:val="single" w:color="auto" w:sz="4" w:space="0"/>
              <w:left w:val="nil"/>
              <w:bottom w:val="single" w:color="auto" w:sz="4" w:space="0"/>
              <w:right w:val="single" w:color="auto" w:sz="4" w:space="0"/>
            </w:tcBorders>
            <w:vAlign w:val="center"/>
          </w:tcPr>
          <w:p>
            <w:pPr>
              <w:spacing w:line="440" w:lineRule="exact"/>
              <w:rPr>
                <w:rFonts w:ascii="宋体"/>
                <w:sz w:val="22"/>
                <w:szCs w:val="22"/>
              </w:rPr>
            </w:pPr>
            <w:r>
              <w:rPr>
                <w:rFonts w:hint="eastAsia" w:ascii="宋体" w:hAnsi="宋体" w:cs="宋体"/>
                <w:sz w:val="22"/>
                <w:szCs w:val="22"/>
              </w:rPr>
              <w:t>详见磋商公告</w:t>
            </w:r>
          </w:p>
        </w:tc>
      </w:tr>
      <w:tr>
        <w:tblPrEx>
          <w:tblCellMar>
            <w:top w:w="0" w:type="dxa"/>
            <w:left w:w="108" w:type="dxa"/>
            <w:bottom w:w="0" w:type="dxa"/>
            <w:right w:w="108" w:type="dxa"/>
          </w:tblCellMar>
        </w:tblPrEx>
        <w:trPr>
          <w:trHeight w:val="47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19</w:t>
            </w:r>
          </w:p>
        </w:tc>
        <w:tc>
          <w:tcPr>
            <w:tcW w:w="2112" w:type="dxa"/>
            <w:tcBorders>
              <w:top w:val="single" w:color="auto" w:sz="4" w:space="0"/>
              <w:left w:val="nil"/>
              <w:bottom w:val="single" w:color="auto" w:sz="4" w:space="0"/>
              <w:right w:val="single" w:color="auto" w:sz="4" w:space="0"/>
            </w:tcBorders>
            <w:vAlign w:val="center"/>
          </w:tcPr>
          <w:p>
            <w:pPr>
              <w:spacing w:line="440" w:lineRule="exact"/>
              <w:jc w:val="center"/>
              <w:rPr>
                <w:sz w:val="22"/>
                <w:szCs w:val="22"/>
              </w:rPr>
            </w:pPr>
            <w:r>
              <w:rPr>
                <w:rFonts w:hint="eastAsia" w:cs="宋体"/>
                <w:sz w:val="22"/>
                <w:szCs w:val="22"/>
              </w:rPr>
              <w:t>是否退还响应文件</w:t>
            </w:r>
          </w:p>
        </w:tc>
        <w:tc>
          <w:tcPr>
            <w:tcW w:w="7236" w:type="dxa"/>
            <w:tcBorders>
              <w:top w:val="single" w:color="auto" w:sz="4" w:space="0"/>
              <w:left w:val="nil"/>
              <w:bottom w:val="single" w:color="auto" w:sz="4" w:space="0"/>
              <w:right w:val="single" w:color="auto" w:sz="4" w:space="0"/>
            </w:tcBorders>
            <w:vAlign w:val="center"/>
          </w:tcPr>
          <w:p>
            <w:pPr>
              <w:spacing w:line="440" w:lineRule="exact"/>
              <w:rPr>
                <w:rFonts w:ascii="宋体"/>
                <w:sz w:val="22"/>
                <w:szCs w:val="22"/>
              </w:rPr>
            </w:pPr>
            <w:r>
              <w:rPr>
                <w:rFonts w:hint="eastAsia" w:ascii="宋体" w:hAnsi="宋体" w:cs="宋体"/>
                <w:sz w:val="22"/>
                <w:szCs w:val="22"/>
              </w:rPr>
              <w:t>响应文件一经开启，将不予退回。</w:t>
            </w:r>
          </w:p>
        </w:tc>
      </w:tr>
      <w:tr>
        <w:tblPrEx>
          <w:tblCellMar>
            <w:top w:w="0" w:type="dxa"/>
            <w:left w:w="108" w:type="dxa"/>
            <w:bottom w:w="0" w:type="dxa"/>
            <w:right w:w="108" w:type="dxa"/>
          </w:tblCellMar>
        </w:tblPrEx>
        <w:trPr>
          <w:trHeight w:val="655"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20</w:t>
            </w:r>
          </w:p>
        </w:tc>
        <w:tc>
          <w:tcPr>
            <w:tcW w:w="21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eastAsia="宋体"/>
                <w:sz w:val="22"/>
                <w:szCs w:val="22"/>
                <w:lang w:val="en-US" w:eastAsia="zh-CN"/>
              </w:rPr>
            </w:pPr>
            <w:r>
              <w:rPr>
                <w:rFonts w:hint="eastAsia" w:ascii="宋体" w:hAnsi="宋体" w:cs="宋体"/>
                <w:kern w:val="0"/>
                <w:sz w:val="22"/>
                <w:szCs w:val="22"/>
                <w:lang w:val="en-US" w:eastAsia="zh-CN"/>
              </w:rPr>
              <w:t>履约保证金</w:t>
            </w:r>
          </w:p>
        </w:tc>
        <w:tc>
          <w:tcPr>
            <w:tcW w:w="7236" w:type="dxa"/>
            <w:tcBorders>
              <w:top w:val="single" w:color="auto" w:sz="4" w:space="0"/>
              <w:left w:val="nil"/>
              <w:bottom w:val="single" w:color="auto" w:sz="4" w:space="0"/>
              <w:right w:val="single" w:color="auto" w:sz="4" w:space="0"/>
            </w:tcBorders>
            <w:vAlign w:val="center"/>
          </w:tcPr>
          <w:p>
            <w:pPr>
              <w:spacing w:line="240" w:lineRule="atLeast"/>
              <w:rPr>
                <w:rFonts w:hint="default" w:ascii="宋体" w:eastAsia="宋体"/>
                <w:sz w:val="22"/>
                <w:szCs w:val="22"/>
                <w:lang w:val="en-US" w:eastAsia="zh-CN"/>
              </w:rPr>
            </w:pPr>
            <w:r>
              <w:rPr>
                <w:rFonts w:hint="eastAsia" w:ascii="宋体" w:hAnsi="宋体"/>
                <w:lang w:val="en-US" w:eastAsia="zh-CN"/>
              </w:rPr>
              <w:t>本项目无须缴纳履约保证金</w:t>
            </w:r>
          </w:p>
        </w:tc>
      </w:tr>
      <w:tr>
        <w:tblPrEx>
          <w:tblCellMar>
            <w:top w:w="0" w:type="dxa"/>
            <w:left w:w="108" w:type="dxa"/>
            <w:bottom w:w="0" w:type="dxa"/>
            <w:right w:w="108" w:type="dxa"/>
          </w:tblCellMar>
        </w:tblPrEx>
        <w:trPr>
          <w:trHeight w:val="989"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21</w:t>
            </w:r>
          </w:p>
        </w:tc>
        <w:tc>
          <w:tcPr>
            <w:tcW w:w="21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sz w:val="22"/>
                <w:szCs w:val="22"/>
              </w:rPr>
            </w:pPr>
            <w:r>
              <w:rPr>
                <w:rFonts w:hint="eastAsia" w:ascii="宋体" w:hAnsi="宋体" w:cs="宋体"/>
                <w:kern w:val="0"/>
                <w:sz w:val="22"/>
                <w:szCs w:val="22"/>
              </w:rPr>
              <w:t>履约保证金交纳及退付</w:t>
            </w:r>
          </w:p>
        </w:tc>
        <w:tc>
          <w:tcPr>
            <w:tcW w:w="7236" w:type="dxa"/>
            <w:tcBorders>
              <w:top w:val="single" w:color="auto" w:sz="4" w:space="0"/>
              <w:left w:val="nil"/>
              <w:bottom w:val="single" w:color="auto" w:sz="4" w:space="0"/>
              <w:right w:val="single" w:color="auto" w:sz="4" w:space="0"/>
            </w:tcBorders>
            <w:vAlign w:val="center"/>
          </w:tcPr>
          <w:p>
            <w:pPr>
              <w:spacing w:before="156" w:beforeLines="50" w:after="78" w:afterLines="25"/>
              <w:rPr>
                <w:rFonts w:ascii="宋体"/>
                <w:sz w:val="22"/>
                <w:szCs w:val="22"/>
              </w:rPr>
            </w:pPr>
            <w:r>
              <w:rPr>
                <w:rFonts w:hint="eastAsia" w:ascii="宋体" w:hAnsi="宋体" w:cs="宋体"/>
                <w:sz w:val="22"/>
                <w:szCs w:val="22"/>
              </w:rPr>
              <w:t>履约保证金的退付程序为：项目履约结束后，成交单位凭项目合同、项目单位签署的安装验收单提出退付申请，待采购人审核通过后，在三十个工作日内给予退付。</w:t>
            </w:r>
          </w:p>
        </w:tc>
      </w:tr>
      <w:tr>
        <w:tblPrEx>
          <w:tblCellMar>
            <w:top w:w="0" w:type="dxa"/>
            <w:left w:w="108" w:type="dxa"/>
            <w:bottom w:w="0" w:type="dxa"/>
            <w:right w:w="108" w:type="dxa"/>
          </w:tblCellMar>
        </w:tblPrEx>
        <w:trPr>
          <w:trHeight w:val="471"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22</w:t>
            </w:r>
          </w:p>
        </w:tc>
        <w:tc>
          <w:tcPr>
            <w:tcW w:w="2112" w:type="dxa"/>
            <w:tcBorders>
              <w:top w:val="single" w:color="auto" w:sz="4" w:space="0"/>
              <w:left w:val="nil"/>
              <w:bottom w:val="single" w:color="auto" w:sz="4" w:space="0"/>
              <w:right w:val="single" w:color="auto" w:sz="4" w:space="0"/>
            </w:tcBorders>
            <w:vAlign w:val="center"/>
          </w:tcPr>
          <w:p>
            <w:pPr>
              <w:spacing w:line="360" w:lineRule="auto"/>
              <w:jc w:val="center"/>
              <w:rPr>
                <w:rFonts w:ascii="宋体"/>
                <w:kern w:val="0"/>
                <w:sz w:val="22"/>
                <w:szCs w:val="22"/>
              </w:rPr>
            </w:pPr>
            <w:r>
              <w:rPr>
                <w:rFonts w:hint="eastAsia" w:ascii="宋体" w:hAnsi="宋体" w:cs="宋体"/>
                <w:sz w:val="22"/>
                <w:szCs w:val="22"/>
              </w:rPr>
              <w:t>磋商有效期</w:t>
            </w:r>
          </w:p>
        </w:tc>
        <w:tc>
          <w:tcPr>
            <w:tcW w:w="7236" w:type="dxa"/>
            <w:tcBorders>
              <w:top w:val="single" w:color="auto" w:sz="4" w:space="0"/>
              <w:left w:val="nil"/>
              <w:bottom w:val="single" w:color="auto" w:sz="4" w:space="0"/>
              <w:right w:val="single" w:color="auto" w:sz="4" w:space="0"/>
            </w:tcBorders>
            <w:vAlign w:val="center"/>
          </w:tcPr>
          <w:p>
            <w:pPr>
              <w:spacing w:line="360" w:lineRule="auto"/>
              <w:rPr>
                <w:rFonts w:ascii="宋体"/>
                <w:kern w:val="0"/>
                <w:sz w:val="22"/>
                <w:szCs w:val="22"/>
              </w:rPr>
            </w:pPr>
            <w:r>
              <w:rPr>
                <w:rFonts w:hint="eastAsia" w:ascii="宋体" w:hAnsi="宋体" w:cs="宋体"/>
                <w:sz w:val="22"/>
                <w:szCs w:val="22"/>
              </w:rPr>
              <w:t>磋商后</w:t>
            </w:r>
            <w:r>
              <w:rPr>
                <w:rFonts w:ascii="宋体" w:hAnsi="宋体" w:cs="宋体"/>
                <w:sz w:val="22"/>
                <w:szCs w:val="22"/>
                <w:u w:val="single"/>
              </w:rPr>
              <w:t>60</w:t>
            </w:r>
            <w:r>
              <w:rPr>
                <w:rFonts w:hint="eastAsia" w:ascii="宋体" w:hAnsi="宋体" w:cs="宋体"/>
                <w:sz w:val="22"/>
                <w:szCs w:val="22"/>
              </w:rPr>
              <w:t>天</w:t>
            </w:r>
          </w:p>
        </w:tc>
      </w:tr>
      <w:tr>
        <w:tblPrEx>
          <w:tblCellMar>
            <w:top w:w="0" w:type="dxa"/>
            <w:left w:w="108" w:type="dxa"/>
            <w:bottom w:w="0" w:type="dxa"/>
            <w:right w:w="108" w:type="dxa"/>
          </w:tblCellMar>
        </w:tblPrEx>
        <w:trPr>
          <w:trHeight w:val="983" w:hRule="atLeast"/>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2"/>
                <w:szCs w:val="22"/>
              </w:rPr>
            </w:pPr>
            <w:r>
              <w:rPr>
                <w:rFonts w:ascii="宋体" w:hAnsi="宋体" w:cs="宋体"/>
                <w:sz w:val="22"/>
                <w:szCs w:val="22"/>
              </w:rPr>
              <w:t>23</w:t>
            </w:r>
          </w:p>
        </w:tc>
        <w:tc>
          <w:tcPr>
            <w:tcW w:w="21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sz w:val="22"/>
                <w:szCs w:val="22"/>
              </w:rPr>
            </w:pPr>
            <w:r>
              <w:rPr>
                <w:rFonts w:hint="eastAsia" w:ascii="宋体" w:hAnsi="宋体" w:cs="宋体"/>
                <w:b/>
                <w:bCs/>
                <w:kern w:val="0"/>
                <w:sz w:val="22"/>
                <w:szCs w:val="22"/>
              </w:rPr>
              <w:t>其他</w:t>
            </w:r>
          </w:p>
        </w:tc>
        <w:tc>
          <w:tcPr>
            <w:tcW w:w="7236" w:type="dxa"/>
            <w:tcBorders>
              <w:top w:val="single" w:color="auto" w:sz="4" w:space="0"/>
              <w:left w:val="nil"/>
              <w:bottom w:val="single" w:color="auto" w:sz="4" w:space="0"/>
              <w:right w:val="single" w:color="auto" w:sz="4" w:space="0"/>
            </w:tcBorders>
            <w:vAlign w:val="center"/>
          </w:tcPr>
          <w:p>
            <w:pPr>
              <w:pStyle w:val="61"/>
              <w:spacing w:line="240" w:lineRule="atLeast"/>
              <w:rPr>
                <w:rFonts w:ascii="Arial" w:hAnsi="Arial" w:cs="Arial"/>
                <w:color w:val="000000"/>
                <w:sz w:val="22"/>
                <w:szCs w:val="22"/>
              </w:rPr>
            </w:pPr>
            <w:r>
              <w:rPr>
                <w:rFonts w:ascii="Arial" w:hAnsi="Arial" w:cs="Arial"/>
                <w:color w:val="000000"/>
                <w:sz w:val="22"/>
                <w:szCs w:val="22"/>
              </w:rPr>
              <w:t>1</w:t>
            </w:r>
            <w:r>
              <w:rPr>
                <w:rFonts w:hint="eastAsia" w:ascii="Arial" w:hAnsi="Arial" w:cs="宋体"/>
                <w:color w:val="000000"/>
                <w:sz w:val="22"/>
                <w:szCs w:val="22"/>
              </w:rPr>
              <w:t>、存在以下不良信用记录情形之一的，不得推荐为成交候选单位：</w:t>
            </w:r>
          </w:p>
          <w:p>
            <w:pPr>
              <w:pStyle w:val="61"/>
              <w:spacing w:line="240" w:lineRule="atLeast"/>
              <w:rPr>
                <w:rFonts w:ascii="Arial" w:hAnsi="Arial" w:cs="Arial"/>
                <w:color w:val="000000"/>
                <w:sz w:val="22"/>
                <w:szCs w:val="22"/>
              </w:rPr>
            </w:pPr>
            <w:r>
              <w:rPr>
                <w:rFonts w:hint="eastAsia" w:ascii="Arial" w:hAnsi="Arial" w:cs="宋体"/>
                <w:color w:val="000000"/>
                <w:sz w:val="22"/>
                <w:szCs w:val="22"/>
              </w:rPr>
              <w:t>（</w:t>
            </w:r>
            <w:r>
              <w:rPr>
                <w:rFonts w:ascii="Arial" w:hAnsi="Arial" w:cs="Arial"/>
                <w:color w:val="000000"/>
                <w:sz w:val="22"/>
                <w:szCs w:val="22"/>
              </w:rPr>
              <w:t>1</w:t>
            </w:r>
            <w:r>
              <w:rPr>
                <w:rFonts w:hint="eastAsia" w:ascii="Arial" w:hAnsi="Arial" w:cs="宋体"/>
                <w:color w:val="000000"/>
                <w:sz w:val="22"/>
                <w:szCs w:val="22"/>
              </w:rPr>
              <w:t>）投标供应商被人民法院列入失信被执行人的；</w:t>
            </w:r>
          </w:p>
          <w:p>
            <w:pPr>
              <w:pStyle w:val="61"/>
              <w:spacing w:line="240" w:lineRule="atLeast"/>
              <w:rPr>
                <w:rFonts w:ascii="Arial" w:hAnsi="Arial" w:cs="Arial"/>
                <w:color w:val="000000"/>
                <w:sz w:val="22"/>
                <w:szCs w:val="22"/>
              </w:rPr>
            </w:pPr>
            <w:r>
              <w:rPr>
                <w:rFonts w:hint="eastAsia" w:ascii="Arial" w:hAnsi="Arial" w:cs="宋体"/>
                <w:color w:val="000000"/>
                <w:sz w:val="22"/>
                <w:szCs w:val="22"/>
              </w:rPr>
              <w:t>（</w:t>
            </w:r>
            <w:r>
              <w:rPr>
                <w:rFonts w:ascii="Arial" w:hAnsi="Arial" w:cs="Arial"/>
                <w:color w:val="000000"/>
                <w:sz w:val="22"/>
                <w:szCs w:val="22"/>
              </w:rPr>
              <w:t>2</w:t>
            </w:r>
            <w:r>
              <w:rPr>
                <w:rFonts w:hint="eastAsia" w:ascii="Arial" w:hAnsi="Arial" w:cs="宋体"/>
                <w:color w:val="000000"/>
                <w:sz w:val="22"/>
                <w:szCs w:val="22"/>
              </w:rPr>
              <w:t>）投标供应商被工商行政管理部门列入企业经营异常名录的；</w:t>
            </w:r>
          </w:p>
          <w:p>
            <w:pPr>
              <w:pStyle w:val="61"/>
              <w:spacing w:line="240" w:lineRule="atLeast"/>
              <w:rPr>
                <w:rFonts w:ascii="Arial" w:hAnsi="Arial" w:cs="Arial"/>
                <w:color w:val="000000"/>
                <w:sz w:val="22"/>
                <w:szCs w:val="22"/>
              </w:rPr>
            </w:pPr>
            <w:r>
              <w:rPr>
                <w:rFonts w:hint="eastAsia" w:ascii="Arial" w:hAnsi="Arial" w:cs="宋体"/>
                <w:color w:val="000000"/>
                <w:sz w:val="22"/>
                <w:szCs w:val="22"/>
              </w:rPr>
              <w:t>（</w:t>
            </w:r>
            <w:r>
              <w:rPr>
                <w:rFonts w:ascii="Arial" w:hAnsi="Arial" w:cs="Arial"/>
                <w:color w:val="000000"/>
                <w:sz w:val="22"/>
                <w:szCs w:val="22"/>
              </w:rPr>
              <w:t>3</w:t>
            </w:r>
            <w:r>
              <w:rPr>
                <w:rFonts w:hint="eastAsia" w:ascii="Arial" w:hAnsi="Arial" w:cs="宋体"/>
                <w:color w:val="000000"/>
                <w:sz w:val="22"/>
                <w:szCs w:val="22"/>
              </w:rPr>
              <w:t>）投标供应商被税务部门列入重大税收违法案件当事人名单的；</w:t>
            </w:r>
          </w:p>
          <w:p>
            <w:pPr>
              <w:pStyle w:val="61"/>
              <w:spacing w:line="240" w:lineRule="atLeast"/>
              <w:rPr>
                <w:rFonts w:ascii="Arial" w:hAnsi="Arial" w:cs="Arial"/>
                <w:color w:val="000000"/>
                <w:sz w:val="22"/>
                <w:szCs w:val="22"/>
              </w:rPr>
            </w:pPr>
            <w:r>
              <w:rPr>
                <w:rFonts w:hint="eastAsia" w:ascii="Arial" w:hAnsi="Arial" w:cs="宋体"/>
                <w:color w:val="000000"/>
                <w:sz w:val="22"/>
                <w:szCs w:val="22"/>
              </w:rPr>
              <w:t>（</w:t>
            </w:r>
            <w:r>
              <w:rPr>
                <w:rFonts w:ascii="Arial" w:hAnsi="Arial" w:cs="Arial"/>
                <w:color w:val="000000"/>
                <w:sz w:val="22"/>
                <w:szCs w:val="22"/>
              </w:rPr>
              <w:t>4</w:t>
            </w:r>
            <w:r>
              <w:rPr>
                <w:rFonts w:hint="eastAsia" w:ascii="Arial" w:hAnsi="Arial" w:cs="宋体"/>
                <w:color w:val="000000"/>
                <w:sz w:val="22"/>
                <w:szCs w:val="22"/>
              </w:rPr>
              <w:t>）投标供应商被政府采购监管部门列入政府采购严重违法失信行为记录名单的。</w:t>
            </w:r>
          </w:p>
          <w:p>
            <w:pPr>
              <w:pStyle w:val="61"/>
              <w:spacing w:line="240" w:lineRule="atLeast"/>
              <w:rPr>
                <w:rFonts w:ascii="Arial" w:hAnsi="Arial" w:cs="Arial"/>
                <w:color w:val="000000"/>
                <w:sz w:val="22"/>
                <w:szCs w:val="22"/>
              </w:rPr>
            </w:pPr>
            <w:r>
              <w:rPr>
                <w:rFonts w:ascii="Arial" w:hAnsi="Arial" w:cs="Arial"/>
                <w:color w:val="000000"/>
                <w:sz w:val="22"/>
                <w:szCs w:val="22"/>
              </w:rPr>
              <w:t>2</w:t>
            </w:r>
            <w:r>
              <w:rPr>
                <w:rFonts w:hint="eastAsia" w:ascii="Arial" w:hAnsi="Arial" w:cs="宋体"/>
                <w:color w:val="000000"/>
                <w:sz w:val="22"/>
                <w:szCs w:val="22"/>
              </w:rPr>
              <w:t>、联合体投标供应商，联合体任何一方存在上述不良信用记录的，视同联合体存在不良信用记录。</w:t>
            </w:r>
          </w:p>
          <w:p>
            <w:pPr>
              <w:pStyle w:val="61"/>
              <w:spacing w:line="240" w:lineRule="atLeast"/>
              <w:rPr>
                <w:rFonts w:ascii="Arial" w:hAnsi="Arial" w:cs="Arial"/>
                <w:color w:val="000000"/>
                <w:sz w:val="22"/>
                <w:szCs w:val="22"/>
              </w:rPr>
            </w:pPr>
            <w:r>
              <w:rPr>
                <w:rFonts w:ascii="Arial" w:hAnsi="Arial" w:cs="Arial"/>
                <w:color w:val="000000"/>
                <w:sz w:val="22"/>
                <w:szCs w:val="22"/>
              </w:rPr>
              <w:t>3</w:t>
            </w:r>
            <w:r>
              <w:rPr>
                <w:rFonts w:hint="eastAsia" w:ascii="Arial" w:hAnsi="Arial" w:cs="宋体"/>
                <w:color w:val="000000"/>
                <w:sz w:val="22"/>
                <w:szCs w:val="22"/>
              </w:rPr>
              <w:t>、不良信用记录查询渠道如下：</w:t>
            </w:r>
          </w:p>
          <w:p>
            <w:pPr>
              <w:pStyle w:val="61"/>
              <w:spacing w:line="240" w:lineRule="atLeast"/>
              <w:rPr>
                <w:rFonts w:ascii="Arial" w:hAnsi="Arial" w:cs="Arial"/>
                <w:color w:val="000000"/>
                <w:sz w:val="22"/>
                <w:szCs w:val="22"/>
              </w:rPr>
            </w:pPr>
            <w:r>
              <w:rPr>
                <w:rFonts w:hint="eastAsia" w:ascii="Arial" w:hAnsi="Arial" w:cs="宋体"/>
                <w:color w:val="000000"/>
                <w:sz w:val="22"/>
                <w:szCs w:val="22"/>
              </w:rPr>
              <w:t>（</w:t>
            </w:r>
            <w:r>
              <w:rPr>
                <w:rFonts w:ascii="Arial" w:hAnsi="Arial" w:cs="Arial"/>
                <w:color w:val="000000"/>
                <w:sz w:val="22"/>
                <w:szCs w:val="22"/>
              </w:rPr>
              <w:t>1</w:t>
            </w:r>
            <w:r>
              <w:rPr>
                <w:rFonts w:hint="eastAsia" w:ascii="Arial" w:hAnsi="Arial" w:cs="宋体"/>
                <w:color w:val="000000"/>
                <w:sz w:val="22"/>
                <w:szCs w:val="22"/>
              </w:rPr>
              <w:t>）失信被执行人：信用中国官网（</w:t>
            </w:r>
            <w:r>
              <w:rPr>
                <w:rFonts w:ascii="Arial" w:hAnsi="Arial" w:cs="Arial"/>
                <w:color w:val="000000"/>
                <w:sz w:val="22"/>
                <w:szCs w:val="22"/>
              </w:rPr>
              <w:t>www.creditchina.gov.cn</w:t>
            </w:r>
            <w:r>
              <w:rPr>
                <w:rFonts w:hint="eastAsia" w:ascii="Arial" w:hAnsi="Arial" w:cs="宋体"/>
                <w:color w:val="000000"/>
                <w:sz w:val="22"/>
                <w:szCs w:val="22"/>
              </w:rPr>
              <w:t>）</w:t>
            </w:r>
          </w:p>
          <w:p>
            <w:pPr>
              <w:pStyle w:val="61"/>
              <w:spacing w:line="240" w:lineRule="atLeast"/>
              <w:rPr>
                <w:rFonts w:ascii="Arial" w:hAnsi="Arial" w:cs="Arial"/>
                <w:color w:val="000000"/>
                <w:sz w:val="22"/>
                <w:szCs w:val="22"/>
              </w:rPr>
            </w:pPr>
            <w:r>
              <w:rPr>
                <w:rFonts w:hint="eastAsia" w:ascii="Arial" w:hAnsi="Arial" w:cs="宋体"/>
                <w:color w:val="000000"/>
                <w:sz w:val="22"/>
                <w:szCs w:val="22"/>
              </w:rPr>
              <w:t>（</w:t>
            </w:r>
            <w:r>
              <w:rPr>
                <w:rFonts w:ascii="Arial" w:hAnsi="Arial" w:cs="Arial"/>
                <w:color w:val="000000"/>
                <w:sz w:val="22"/>
                <w:szCs w:val="22"/>
              </w:rPr>
              <w:t>2</w:t>
            </w:r>
            <w:r>
              <w:rPr>
                <w:rFonts w:hint="eastAsia" w:ascii="Arial" w:hAnsi="Arial" w:cs="宋体"/>
                <w:color w:val="000000"/>
                <w:sz w:val="22"/>
                <w:szCs w:val="22"/>
              </w:rPr>
              <w:t>）企业经营异常名录：信用中国官网（</w:t>
            </w:r>
            <w:r>
              <w:rPr>
                <w:rFonts w:ascii="Arial" w:hAnsi="Arial" w:cs="Arial"/>
                <w:color w:val="000000"/>
                <w:sz w:val="22"/>
                <w:szCs w:val="22"/>
              </w:rPr>
              <w:t>www.creditchina.gov.cn</w:t>
            </w:r>
            <w:r>
              <w:rPr>
                <w:rFonts w:hint="eastAsia" w:ascii="Arial" w:hAnsi="Arial" w:cs="宋体"/>
                <w:color w:val="000000"/>
                <w:sz w:val="22"/>
                <w:szCs w:val="22"/>
              </w:rPr>
              <w:t>）</w:t>
            </w:r>
          </w:p>
          <w:p>
            <w:pPr>
              <w:pStyle w:val="61"/>
              <w:spacing w:line="240" w:lineRule="atLeast"/>
              <w:rPr>
                <w:rFonts w:ascii="Arial" w:hAnsi="Arial" w:cs="Arial"/>
                <w:color w:val="000000"/>
                <w:sz w:val="22"/>
                <w:szCs w:val="22"/>
              </w:rPr>
            </w:pPr>
            <w:r>
              <w:rPr>
                <w:rFonts w:hint="eastAsia" w:ascii="Arial" w:hAnsi="Arial" w:cs="宋体"/>
                <w:color w:val="000000"/>
                <w:sz w:val="22"/>
                <w:szCs w:val="22"/>
              </w:rPr>
              <w:t>（</w:t>
            </w:r>
            <w:r>
              <w:rPr>
                <w:rFonts w:ascii="Arial" w:hAnsi="Arial" w:cs="Arial"/>
                <w:color w:val="000000"/>
                <w:sz w:val="22"/>
                <w:szCs w:val="22"/>
              </w:rPr>
              <w:t>3</w:t>
            </w:r>
            <w:r>
              <w:rPr>
                <w:rFonts w:hint="eastAsia" w:ascii="Arial" w:hAnsi="Arial" w:cs="宋体"/>
                <w:color w:val="000000"/>
                <w:sz w:val="22"/>
                <w:szCs w:val="22"/>
              </w:rPr>
              <w:t>）重大税收违法案件当事人名单：信用中国官网（</w:t>
            </w:r>
            <w:r>
              <w:rPr>
                <w:rFonts w:ascii="Arial" w:hAnsi="Arial" w:cs="Arial"/>
                <w:color w:val="000000"/>
                <w:sz w:val="22"/>
                <w:szCs w:val="22"/>
              </w:rPr>
              <w:t>www.creditchina.gov.cn</w:t>
            </w:r>
            <w:r>
              <w:rPr>
                <w:rFonts w:hint="eastAsia" w:ascii="Arial" w:hAnsi="Arial" w:cs="宋体"/>
                <w:color w:val="000000"/>
                <w:sz w:val="22"/>
                <w:szCs w:val="22"/>
              </w:rPr>
              <w:t>）</w:t>
            </w:r>
          </w:p>
          <w:p>
            <w:pPr>
              <w:pStyle w:val="61"/>
              <w:spacing w:line="240" w:lineRule="atLeast"/>
              <w:rPr>
                <w:rFonts w:ascii="Arial" w:hAnsi="Arial" w:cs="Arial"/>
                <w:color w:val="000000"/>
                <w:sz w:val="22"/>
                <w:szCs w:val="22"/>
              </w:rPr>
            </w:pPr>
            <w:r>
              <w:rPr>
                <w:rFonts w:hint="eastAsia" w:ascii="Arial" w:hAnsi="Arial" w:cs="宋体"/>
                <w:color w:val="000000"/>
                <w:sz w:val="22"/>
                <w:szCs w:val="22"/>
              </w:rPr>
              <w:t>（</w:t>
            </w:r>
            <w:r>
              <w:rPr>
                <w:rFonts w:ascii="Arial" w:hAnsi="Arial" w:cs="Arial"/>
                <w:color w:val="000000"/>
                <w:sz w:val="22"/>
                <w:szCs w:val="22"/>
              </w:rPr>
              <w:t>4</w:t>
            </w:r>
            <w:r>
              <w:rPr>
                <w:rFonts w:hint="eastAsia" w:ascii="Arial" w:hAnsi="Arial" w:cs="宋体"/>
                <w:color w:val="000000"/>
                <w:sz w:val="22"/>
                <w:szCs w:val="22"/>
              </w:rPr>
              <w:t>）政府采购严重违法失信行为记录名单：中国政府采购官网（</w:t>
            </w:r>
            <w:r>
              <w:rPr>
                <w:rFonts w:ascii="Arial" w:hAnsi="Arial" w:cs="Arial"/>
                <w:color w:val="000000"/>
                <w:sz w:val="22"/>
                <w:szCs w:val="22"/>
              </w:rPr>
              <w:t>www.ccgp.gov.cn</w:t>
            </w:r>
            <w:r>
              <w:rPr>
                <w:rFonts w:hint="eastAsia" w:ascii="Arial" w:hAnsi="Arial" w:cs="宋体"/>
                <w:color w:val="000000"/>
                <w:sz w:val="22"/>
                <w:szCs w:val="22"/>
              </w:rPr>
              <w:t>）</w:t>
            </w:r>
          </w:p>
          <w:p>
            <w:pPr>
              <w:spacing w:before="156" w:beforeLines="50" w:after="78" w:afterLines="25"/>
              <w:jc w:val="left"/>
              <w:rPr>
                <w:rFonts w:ascii="宋体"/>
                <w:sz w:val="22"/>
                <w:szCs w:val="22"/>
              </w:rPr>
            </w:pPr>
            <w:r>
              <w:rPr>
                <w:rFonts w:ascii="Arial" w:hAnsi="Arial" w:cs="Arial"/>
                <w:color w:val="000000"/>
                <w:sz w:val="22"/>
                <w:szCs w:val="22"/>
              </w:rPr>
              <w:t>4</w:t>
            </w:r>
            <w:r>
              <w:rPr>
                <w:rFonts w:hint="eastAsia" w:ascii="Arial" w:hAnsi="Arial" w:cs="宋体"/>
                <w:color w:val="000000"/>
                <w:sz w:val="22"/>
                <w:szCs w:val="22"/>
              </w:rPr>
              <w:t>、投标时，投标供应商应当查询上述记录后，如实提供无不良信用记录承诺并加盖投标供应商公章。联合体投标的，所有联合体成员均须加盖公章。</w:t>
            </w:r>
          </w:p>
        </w:tc>
      </w:tr>
      <w:tr>
        <w:tblPrEx>
          <w:tblCellMar>
            <w:top w:w="0" w:type="dxa"/>
            <w:left w:w="108" w:type="dxa"/>
            <w:bottom w:w="0" w:type="dxa"/>
            <w:right w:w="108" w:type="dxa"/>
          </w:tblCellMar>
        </w:tblPrEx>
        <w:trPr>
          <w:trHeight w:val="983" w:hRule="atLeast"/>
        </w:trPr>
        <w:tc>
          <w:tcPr>
            <w:tcW w:w="51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2"/>
                <w:szCs w:val="22"/>
              </w:rPr>
            </w:pPr>
            <w:r>
              <w:rPr>
                <w:rFonts w:hint="eastAsia"/>
              </w:rPr>
              <w:t>2</w:t>
            </w:r>
            <w:r>
              <w:t>4</w:t>
            </w:r>
          </w:p>
        </w:tc>
        <w:tc>
          <w:tcPr>
            <w:tcW w:w="2112" w:type="dxa"/>
            <w:tcBorders>
              <w:top w:val="single" w:color="auto" w:sz="4" w:space="0"/>
              <w:left w:val="nil"/>
              <w:bottom w:val="single" w:color="auto" w:sz="4" w:space="0"/>
              <w:right w:val="single" w:color="auto" w:sz="4" w:space="0"/>
            </w:tcBorders>
          </w:tcPr>
          <w:p>
            <w:pPr>
              <w:spacing w:before="156" w:beforeLines="50" w:after="78" w:afterLines="25"/>
              <w:jc w:val="left"/>
              <w:rPr>
                <w:rFonts w:ascii="Arial" w:hAnsi="Arial" w:cs="宋体"/>
                <w:color w:val="000000"/>
                <w:sz w:val="22"/>
                <w:szCs w:val="22"/>
              </w:rPr>
            </w:pPr>
            <w:r>
              <w:rPr>
                <w:rFonts w:hint="eastAsia" w:ascii="Arial" w:hAnsi="Arial" w:cs="宋体"/>
                <w:color w:val="000000"/>
                <w:sz w:val="22"/>
                <w:szCs w:val="22"/>
              </w:rPr>
              <w:t>招标代理费及专家评审费</w:t>
            </w:r>
          </w:p>
        </w:tc>
        <w:tc>
          <w:tcPr>
            <w:tcW w:w="7236" w:type="dxa"/>
            <w:tcBorders>
              <w:top w:val="single" w:color="auto" w:sz="4" w:space="0"/>
              <w:left w:val="nil"/>
              <w:bottom w:val="single" w:color="auto" w:sz="4" w:space="0"/>
              <w:right w:val="single" w:color="auto" w:sz="4" w:space="0"/>
            </w:tcBorders>
          </w:tcPr>
          <w:p>
            <w:pPr>
              <w:pStyle w:val="61"/>
              <w:spacing w:before="156" w:beforeLines="50" w:after="78" w:afterLines="25"/>
              <w:jc w:val="left"/>
              <w:rPr>
                <w:rFonts w:ascii="Arial" w:hAnsi="Arial" w:cs="宋体"/>
                <w:color w:val="000000"/>
                <w:sz w:val="22"/>
                <w:szCs w:val="22"/>
              </w:rPr>
            </w:pPr>
            <w:r>
              <w:rPr>
                <w:rFonts w:hint="eastAsia" w:ascii="Arial" w:hAnsi="Arial" w:cs="宋体"/>
                <w:color w:val="000000"/>
                <w:sz w:val="22"/>
                <w:szCs w:val="22"/>
              </w:rPr>
              <w:t>由</w:t>
            </w:r>
            <w:r>
              <w:rPr>
                <w:rFonts w:hint="eastAsia" w:ascii="Arial" w:hAnsi="Arial" w:cs="宋体"/>
                <w:color w:val="000000"/>
                <w:sz w:val="22"/>
                <w:szCs w:val="22"/>
                <w:lang w:eastAsia="zh-CN"/>
              </w:rPr>
              <w:t>成交供应商</w:t>
            </w:r>
            <w:r>
              <w:rPr>
                <w:rFonts w:hint="eastAsia" w:ascii="Arial" w:hAnsi="Arial" w:cs="宋体"/>
                <w:color w:val="000000"/>
                <w:sz w:val="22"/>
                <w:szCs w:val="22"/>
              </w:rPr>
              <w:t>支付，代理费</w:t>
            </w:r>
            <w:r>
              <w:rPr>
                <w:rFonts w:hint="eastAsia" w:ascii="Arial" w:hAnsi="Arial" w:cs="宋体"/>
                <w:color w:val="000000"/>
                <w:sz w:val="22"/>
                <w:szCs w:val="22"/>
                <w:lang w:val="en-US" w:eastAsia="zh-CN"/>
              </w:rPr>
              <w:t>3</w:t>
            </w:r>
            <w:r>
              <w:rPr>
                <w:rFonts w:ascii="Arial" w:hAnsi="Arial" w:cs="宋体"/>
                <w:color w:val="000000"/>
                <w:sz w:val="22"/>
                <w:szCs w:val="22"/>
              </w:rPr>
              <w:t>000</w:t>
            </w:r>
            <w:r>
              <w:rPr>
                <w:rFonts w:hint="eastAsia" w:ascii="Arial" w:hAnsi="Arial" w:cs="宋体"/>
                <w:color w:val="000000"/>
                <w:sz w:val="22"/>
                <w:szCs w:val="22"/>
              </w:rPr>
              <w:t>元。</w:t>
            </w:r>
            <w:r>
              <w:rPr>
                <w:rFonts w:hint="eastAsia" w:ascii="Arial" w:hAnsi="Arial" w:cs="宋体"/>
                <w:color w:val="000000"/>
                <w:sz w:val="22"/>
                <w:szCs w:val="22"/>
                <w:lang w:eastAsia="zh-CN"/>
              </w:rPr>
              <w:t>成交供应商</w:t>
            </w:r>
            <w:r>
              <w:rPr>
                <w:rFonts w:hint="eastAsia" w:ascii="Arial" w:hAnsi="Arial" w:cs="宋体"/>
                <w:color w:val="000000"/>
                <w:sz w:val="22"/>
                <w:szCs w:val="22"/>
              </w:rPr>
              <w:t>在领取中标通知书时支付。另由代理机构经办人先行垫付专家评审费，</w:t>
            </w:r>
            <w:r>
              <w:rPr>
                <w:rFonts w:hint="eastAsia" w:ascii="Arial" w:hAnsi="Arial" w:cs="宋体"/>
                <w:color w:val="000000"/>
                <w:sz w:val="22"/>
                <w:szCs w:val="22"/>
                <w:lang w:eastAsia="zh-CN"/>
              </w:rPr>
              <w:t>成交供应商</w:t>
            </w:r>
            <w:r>
              <w:rPr>
                <w:rFonts w:hint="eastAsia" w:ascii="Arial" w:hAnsi="Arial" w:cs="宋体"/>
                <w:color w:val="000000"/>
                <w:sz w:val="22"/>
                <w:szCs w:val="22"/>
              </w:rPr>
              <w:t>中标后据实现金支付（无发票）。</w:t>
            </w:r>
          </w:p>
        </w:tc>
      </w:tr>
      <w:tr>
        <w:tblPrEx>
          <w:tblCellMar>
            <w:top w:w="0" w:type="dxa"/>
            <w:left w:w="108" w:type="dxa"/>
            <w:bottom w:w="0" w:type="dxa"/>
            <w:right w:w="108" w:type="dxa"/>
          </w:tblCellMar>
        </w:tblPrEx>
        <w:trPr>
          <w:trHeight w:val="427" w:hRule="atLeast"/>
        </w:trPr>
        <w:tc>
          <w:tcPr>
            <w:tcW w:w="51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2"/>
                <w:szCs w:val="22"/>
                <w:lang w:eastAsia="zh-CN"/>
              </w:rPr>
            </w:pPr>
            <w:r>
              <w:rPr>
                <w:rFonts w:hint="eastAsia"/>
              </w:rPr>
              <w:t>2</w:t>
            </w:r>
            <w:r>
              <w:rPr>
                <w:rFonts w:hint="eastAsia"/>
                <w:lang w:val="en-US" w:eastAsia="zh-CN"/>
              </w:rPr>
              <w:t>5</w:t>
            </w:r>
          </w:p>
        </w:tc>
        <w:tc>
          <w:tcPr>
            <w:tcW w:w="2112" w:type="dxa"/>
            <w:tcBorders>
              <w:top w:val="single" w:color="auto" w:sz="4" w:space="0"/>
              <w:left w:val="nil"/>
              <w:bottom w:val="single" w:color="auto" w:sz="4" w:space="0"/>
              <w:right w:val="single" w:color="auto" w:sz="4" w:space="0"/>
            </w:tcBorders>
          </w:tcPr>
          <w:p>
            <w:pPr>
              <w:widowControl/>
              <w:spacing w:line="360" w:lineRule="exact"/>
              <w:jc w:val="center"/>
              <w:rPr>
                <w:rFonts w:ascii="宋体" w:hAnsi="宋体" w:cs="宋体"/>
                <w:b/>
                <w:bCs/>
                <w:kern w:val="0"/>
                <w:sz w:val="22"/>
                <w:szCs w:val="22"/>
              </w:rPr>
            </w:pPr>
          </w:p>
        </w:tc>
        <w:tc>
          <w:tcPr>
            <w:tcW w:w="7236" w:type="dxa"/>
            <w:tcBorders>
              <w:top w:val="single" w:color="auto" w:sz="4" w:space="0"/>
              <w:left w:val="nil"/>
              <w:bottom w:val="single" w:color="auto" w:sz="4" w:space="0"/>
              <w:right w:val="single" w:color="auto" w:sz="4" w:space="0"/>
            </w:tcBorders>
          </w:tcPr>
          <w:p>
            <w:pPr>
              <w:pStyle w:val="61"/>
              <w:spacing w:before="156" w:beforeLines="50" w:after="78" w:afterLines="25"/>
              <w:jc w:val="left"/>
              <w:rPr>
                <w:rFonts w:ascii="Arial" w:hAnsi="Arial" w:cs="宋体"/>
                <w:color w:val="000000"/>
                <w:sz w:val="22"/>
                <w:szCs w:val="22"/>
              </w:rPr>
            </w:pPr>
            <w:r>
              <w:rPr>
                <w:rFonts w:hint="eastAsia" w:ascii="Arial" w:hAnsi="Arial" w:cs="宋体"/>
                <w:color w:val="000000"/>
                <w:sz w:val="22"/>
                <w:szCs w:val="22"/>
              </w:rPr>
              <w:t>本招标文件解释权归招标人/招标代理机构所有。</w:t>
            </w:r>
          </w:p>
        </w:tc>
      </w:tr>
    </w:tbl>
    <w:p>
      <w:pPr>
        <w:rPr>
          <w:rFonts w:ascii="宋体"/>
          <w:sz w:val="20"/>
          <w:szCs w:val="20"/>
        </w:rPr>
      </w:pPr>
    </w:p>
    <w:p>
      <w:pPr>
        <w:jc w:val="center"/>
        <w:rPr>
          <w:rFonts w:ascii="宋体"/>
          <w:b/>
          <w:bCs/>
          <w:sz w:val="24"/>
          <w:szCs w:val="24"/>
        </w:rPr>
      </w:pPr>
      <w:r>
        <w:rPr>
          <w:rFonts w:ascii="宋体" w:hAnsi="宋体" w:cs="宋体"/>
          <w:b/>
          <w:bCs/>
          <w:sz w:val="24"/>
          <w:szCs w:val="24"/>
        </w:rPr>
        <w:t>(</w:t>
      </w:r>
      <w:r>
        <w:rPr>
          <w:rFonts w:hint="eastAsia" w:ascii="宋体" w:hAnsi="宋体" w:cs="宋体"/>
          <w:b/>
          <w:bCs/>
          <w:sz w:val="24"/>
          <w:szCs w:val="24"/>
        </w:rPr>
        <w:t>二</w:t>
      </w:r>
      <w:r>
        <w:rPr>
          <w:rFonts w:ascii="宋体" w:hAnsi="宋体" w:cs="宋体"/>
          <w:b/>
          <w:bCs/>
          <w:sz w:val="24"/>
          <w:szCs w:val="24"/>
        </w:rPr>
        <w:t>)</w:t>
      </w:r>
      <w:r>
        <w:rPr>
          <w:rFonts w:hint="eastAsia" w:ascii="宋体" w:hAnsi="宋体" w:cs="宋体"/>
          <w:b/>
          <w:bCs/>
          <w:sz w:val="24"/>
          <w:szCs w:val="24"/>
        </w:rPr>
        <w:t>投标供应商须知</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资金来源</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1.1买方已筹集了一笔可靠资金，用于支付“投标供应商须知前附表”中所列的项目采购的费用。本项目由安徽鼎信项目管理股份有限公司负责进行磋商采购。</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本次采购方式及投标供应商资质要求</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2.1本次采购以竞争性磋商方式进行。</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2.2投标供应商是响应磋商文件、参加竞争的具有独立法人资格的投标供应商，且应当满足磋商文件规定的资格条件。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费用承担</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3.1投标供应商必须自行承担所有与参加磋商有关的费用。不论采购的结果如何（包括：成交、未成交等），</w:t>
      </w:r>
      <w:r>
        <w:rPr>
          <w:rFonts w:hint="eastAsia" w:ascii="宋体" w:hAnsi="宋体" w:cs="宋体"/>
          <w:color w:val="000000"/>
          <w:kern w:val="0"/>
          <w:sz w:val="24"/>
          <w:szCs w:val="24"/>
          <w:lang w:eastAsia="zh-CN"/>
        </w:rPr>
        <w:t>芜湖市急救中心</w:t>
      </w:r>
      <w:r>
        <w:rPr>
          <w:rFonts w:hint="eastAsia" w:ascii="宋体" w:hAnsi="宋体" w:cs="宋体"/>
          <w:color w:val="000000"/>
          <w:kern w:val="0"/>
          <w:sz w:val="24"/>
          <w:szCs w:val="24"/>
        </w:rPr>
        <w:t>及安徽鼎信项目管理股份有限公司在任何情况下均无义务和责任承担这些费用。</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保密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4.1</w:t>
      </w:r>
      <w:r>
        <w:rPr>
          <w:rFonts w:hint="eastAsia" w:ascii="宋体" w:hAnsi="宋体" w:cs="宋体"/>
          <w:color w:val="000000"/>
          <w:kern w:val="0"/>
          <w:sz w:val="24"/>
          <w:szCs w:val="24"/>
        </w:rPr>
        <w:t>参与采购活动的各方应当对磋商文件和响应文件中的商业和技术等秘密保密，否则应当承担相应的法律责任。</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知识产权</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 xml:space="preserve">5.1 </w:t>
      </w:r>
      <w:r>
        <w:rPr>
          <w:rFonts w:hint="eastAsia" w:ascii="宋体" w:hAnsi="宋体" w:cs="宋体"/>
          <w:color w:val="000000"/>
          <w:kern w:val="0"/>
          <w:sz w:val="24"/>
          <w:szCs w:val="24"/>
        </w:rPr>
        <w:t>投标供应商必须保证，采购人在中华人民共和国境内使用磋商服务、资料、技术或其任何一部分时，享有不受限制的无偿使用权，不会产生因第三方提出侵犯其专利权、商标权或其它知识产权而引起的法律或经济纠纷。如投标供应商不拥有相应的知识产权，则在磋商报价中必须包括合法获取该知识产权的一切相关费用。</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6.</w:t>
      </w:r>
      <w:r>
        <w:rPr>
          <w:rFonts w:hint="eastAsia" w:ascii="宋体" w:hAnsi="宋体" w:cs="宋体"/>
          <w:color w:val="000000"/>
          <w:kern w:val="0"/>
          <w:sz w:val="24"/>
          <w:szCs w:val="24"/>
        </w:rPr>
        <w:t>联合体磋商（本项目不适用）</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6.1</w:t>
      </w:r>
      <w:r>
        <w:rPr>
          <w:rFonts w:hint="eastAsia" w:ascii="宋体" w:hAnsi="宋体" w:cs="宋体"/>
          <w:color w:val="000000"/>
          <w:kern w:val="0"/>
          <w:sz w:val="24"/>
          <w:szCs w:val="24"/>
        </w:rPr>
        <w:t>除非本项目明确要求不接受联合体形式磋商外，两个或两个以上投标供应商可以组成一个联合体磋商，以一个投标供应商的身份磋商。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6.2</w:t>
      </w:r>
      <w:r>
        <w:rPr>
          <w:rFonts w:hint="eastAsia" w:ascii="宋体" w:hAnsi="宋体" w:cs="宋体"/>
          <w:color w:val="000000"/>
          <w:kern w:val="0"/>
          <w:sz w:val="24"/>
          <w:szCs w:val="24"/>
        </w:rPr>
        <w:t>以联合体形式参加磋商的，联合体各方均应当符合《中华人民共和国政府采购法》第二十二条第一款规定的条件。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6.3</w:t>
      </w:r>
      <w:r>
        <w:rPr>
          <w:rFonts w:hint="eastAsia" w:ascii="宋体" w:hAnsi="宋体" w:cs="宋体"/>
          <w:color w:val="000000"/>
          <w:kern w:val="0"/>
          <w:sz w:val="24"/>
          <w:szCs w:val="24"/>
        </w:rPr>
        <w:t>联合体各方之间应当签订联合体协议，明确约定联合体各方应当承担的工作和相应的责任，并将联合体协议连同响应文件一并提交。由同一专业的单位组成的联合体，按照同一资质等级较低的单位确定资质等级。联合体各方签订联合体协议后，不得再以自己的名义单独在同一项目中磋商，也不得组成新的联合体参加同一项目磋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6.4</w:t>
      </w:r>
      <w:r>
        <w:rPr>
          <w:rFonts w:hint="eastAsia" w:ascii="宋体" w:hAnsi="宋体" w:cs="宋体"/>
          <w:color w:val="000000"/>
          <w:kern w:val="0"/>
          <w:sz w:val="24"/>
          <w:szCs w:val="24"/>
        </w:rPr>
        <w:t>联合体磋商的，可以由联合体中的一方或者共同提交磋商保证金，以一方名义提交磋商保证金的，对联合体各方均具有约束力。</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7.</w:t>
      </w:r>
      <w:r>
        <w:rPr>
          <w:rFonts w:hint="eastAsia" w:ascii="宋体" w:hAnsi="宋体" w:cs="宋体"/>
          <w:color w:val="000000"/>
          <w:kern w:val="0"/>
          <w:sz w:val="24"/>
          <w:szCs w:val="24"/>
        </w:rPr>
        <w:t>磋商文件构成</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7.1</w:t>
      </w:r>
      <w:r>
        <w:rPr>
          <w:rFonts w:hint="eastAsia" w:ascii="宋体" w:hAnsi="宋体" w:cs="宋体"/>
          <w:color w:val="000000"/>
          <w:kern w:val="0"/>
          <w:sz w:val="24"/>
          <w:szCs w:val="24"/>
        </w:rPr>
        <w:t>磋商文件包括以下部分：</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7.1.1磋商邀请（磋商公告）；</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7.1.2投标供应商须知；</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7.1.3采购需求；</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7.1.4评审办法；</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7.1.5响应文件格式。</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 xml:space="preserve">7.2 </w:t>
      </w:r>
      <w:r>
        <w:rPr>
          <w:rFonts w:hint="eastAsia" w:ascii="宋体" w:hAnsi="宋体" w:cs="宋体"/>
          <w:color w:val="000000"/>
          <w:kern w:val="0"/>
          <w:sz w:val="24"/>
          <w:szCs w:val="24"/>
        </w:rPr>
        <w:t>投标供应商应认真阅读磋商文件中所有的事项、格式、条件、条款和规范等要求。</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7.3</w:t>
      </w:r>
      <w:r>
        <w:rPr>
          <w:rFonts w:hint="eastAsia" w:ascii="宋体" w:hAnsi="宋体" w:cs="宋体"/>
          <w:color w:val="000000"/>
          <w:kern w:val="0"/>
          <w:sz w:val="24"/>
          <w:szCs w:val="24"/>
        </w:rPr>
        <w:t>投标供应商应当按照磋商文件的要求编制响应文件。响应文件应对磋商文件提出的要求和条件作出实质性响应。</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8.</w:t>
      </w:r>
      <w:r>
        <w:rPr>
          <w:rFonts w:hint="eastAsia" w:ascii="宋体" w:hAnsi="宋体" w:cs="宋体"/>
          <w:color w:val="000000"/>
          <w:kern w:val="0"/>
          <w:sz w:val="24"/>
          <w:szCs w:val="24"/>
        </w:rPr>
        <w:t>答疑及磋商文件的澄清与修改</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8.1</w:t>
      </w:r>
      <w:r>
        <w:rPr>
          <w:rFonts w:hint="eastAsia" w:ascii="宋体" w:hAnsi="宋体" w:cs="宋体"/>
          <w:color w:val="000000"/>
          <w:kern w:val="0"/>
          <w:sz w:val="24"/>
          <w:szCs w:val="24"/>
        </w:rPr>
        <w:t>投标供应商如果对磋商文件、工程量清单、控制价等磋商文件的其他任何内容有相关疑问，可以于投标供应商须知前附表列明的答疑接受时间前，有权要求安徽鼎信项目管理股份有限公司对有关问题进行答疑、澄清。</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8.2</w:t>
      </w:r>
      <w:r>
        <w:rPr>
          <w:rFonts w:hint="eastAsia" w:ascii="宋体" w:hAnsi="宋体" w:cs="宋体"/>
          <w:color w:val="000000"/>
          <w:kern w:val="0"/>
          <w:sz w:val="24"/>
          <w:szCs w:val="24"/>
        </w:rPr>
        <w:t>除非磋商文件明确约定，否则，如磋商文件、清单、施工图纸之间存在不一致时，以要求严格或质量等级高的为准。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8.3</w:t>
      </w:r>
      <w:r>
        <w:rPr>
          <w:rFonts w:hint="eastAsia" w:ascii="宋体" w:hAnsi="宋体" w:cs="宋体"/>
          <w:color w:val="000000"/>
          <w:kern w:val="0"/>
          <w:sz w:val="24"/>
          <w:szCs w:val="24"/>
        </w:rPr>
        <w:t>投标供应商对磋商文件如有疑问，应在规定时间内，以书面形式（如传真、信件等）通知安徽鼎信项目管理股份有限公司。安徽鼎信项目管理股份有限公司对在此规定时间以前收到的、且需要做出澄清的问题，以公开的形式刊登在“芜</w:t>
      </w:r>
      <w:r>
        <w:rPr>
          <w:rFonts w:hint="eastAsia" w:ascii="宋体" w:hAnsi="宋体" w:cs="宋体"/>
          <w:color w:val="000000"/>
          <w:kern w:val="0"/>
          <w:sz w:val="24"/>
          <w:szCs w:val="24"/>
          <w:lang w:eastAsia="zh-CN"/>
        </w:rPr>
        <w:t>芜湖市急救中心网站（http://www.ahwh120.com/）</w:t>
      </w:r>
      <w:r>
        <w:rPr>
          <w:rFonts w:hint="eastAsia" w:ascii="宋体" w:hAnsi="宋体" w:cs="宋体"/>
          <w:color w:val="000000"/>
          <w:kern w:val="0"/>
          <w:sz w:val="24"/>
          <w:szCs w:val="24"/>
        </w:rPr>
        <w:t>”上，但不说明问题的来源。</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8.4</w:t>
      </w:r>
      <w:r>
        <w:rPr>
          <w:rFonts w:hint="eastAsia" w:ascii="宋体" w:hAnsi="宋体" w:cs="宋体"/>
          <w:color w:val="000000"/>
          <w:kern w:val="0"/>
          <w:sz w:val="24"/>
          <w:szCs w:val="24"/>
        </w:rPr>
        <w:t>如果投标供应商在规定的时间内未对磋商文件有关条款提出质疑，视为充分了解磋商文件所有的内容，一旦递交响应文件，视为投标供应商完全接受磋商文件的全部条款，之后不得对磋商文件的内容或条款提出质疑。</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8.5</w:t>
      </w:r>
      <w:r>
        <w:rPr>
          <w:rFonts w:hint="eastAsia" w:ascii="宋体" w:hAnsi="宋体" w:cs="宋体"/>
          <w:color w:val="000000"/>
          <w:kern w:val="0"/>
          <w:sz w:val="24"/>
          <w:szCs w:val="24"/>
        </w:rPr>
        <w:t>答疑、澄清、变更或补充的内容可能影响响应文件编制的，可以视采购具体情况，延长磋商截止时间和开标时间，并在磋商文件要求提交响应文件的截止时间前，在网站上发布延期公告。在上述情况下，采购人和代理机构和投标供应商在磋商截止期方面的全部权力、责任和义务，将适用于延长后新的磋商截止期。</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8.6</w:t>
      </w:r>
      <w:r>
        <w:rPr>
          <w:rFonts w:hint="eastAsia" w:ascii="宋体" w:hAnsi="宋体" w:cs="宋体"/>
          <w:color w:val="000000"/>
          <w:kern w:val="0"/>
          <w:sz w:val="24"/>
          <w:szCs w:val="24"/>
        </w:rPr>
        <w:t>特殊情况下，发布澄清、更正或更改公告后，在征得投标供应商同意后，可不改变磋商截止时间和开标时间。</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9</w:t>
      </w:r>
      <w:r>
        <w:rPr>
          <w:rFonts w:ascii="宋体" w:hAnsi="宋体" w:cs="宋体"/>
          <w:color w:val="000000"/>
          <w:kern w:val="0"/>
          <w:sz w:val="24"/>
          <w:szCs w:val="24"/>
        </w:rPr>
        <w:t>.</w:t>
      </w:r>
      <w:r>
        <w:rPr>
          <w:rFonts w:hint="eastAsia" w:ascii="宋体" w:hAnsi="宋体" w:cs="宋体"/>
          <w:color w:val="000000"/>
          <w:kern w:val="0"/>
          <w:sz w:val="24"/>
          <w:szCs w:val="24"/>
        </w:rPr>
        <w:t>报价</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9</w:t>
      </w:r>
      <w:r>
        <w:rPr>
          <w:rFonts w:ascii="宋体" w:hAnsi="宋体" w:cs="宋体"/>
          <w:color w:val="000000"/>
          <w:kern w:val="0"/>
          <w:sz w:val="24"/>
          <w:szCs w:val="24"/>
        </w:rPr>
        <w:t>.1</w:t>
      </w:r>
      <w:r>
        <w:rPr>
          <w:rFonts w:hint="eastAsia" w:ascii="宋体" w:hAnsi="宋体" w:cs="宋体"/>
          <w:color w:val="000000"/>
          <w:kern w:val="0"/>
          <w:sz w:val="24"/>
          <w:szCs w:val="24"/>
        </w:rPr>
        <w:t>投标供应商应以“包”为报价的基本单位。除非磋商文件另有规定，若整个需求分为若干包，则投标供应商可选择其中的部分或所有包报价。包内所有项目均应报价（免费赠送的除外），否则将导致磋商无效。</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9</w:t>
      </w:r>
      <w:r>
        <w:rPr>
          <w:rFonts w:ascii="宋体" w:hAnsi="宋体" w:cs="宋体"/>
          <w:color w:val="000000"/>
          <w:kern w:val="0"/>
          <w:sz w:val="24"/>
          <w:szCs w:val="24"/>
        </w:rPr>
        <w:t>.2</w:t>
      </w:r>
      <w:r>
        <w:rPr>
          <w:rFonts w:hint="eastAsia" w:ascii="宋体" w:hAnsi="宋体" w:cs="宋体"/>
          <w:color w:val="000000"/>
          <w:kern w:val="0"/>
          <w:sz w:val="24"/>
          <w:szCs w:val="24"/>
        </w:rPr>
        <w:t>磋商报价为投标供应商在磋商文件中提出的各项支付金额的总和。包括本次磋商全部内容及工期的成本、利润、税金、运输费、损耗等所有费用。技术规范要求的费用也应包括在磋商报价中，只有总价而没有分项报价的响应文件无效。</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9</w:t>
      </w:r>
      <w:r>
        <w:rPr>
          <w:rFonts w:ascii="宋体" w:hAnsi="宋体" w:cs="宋体"/>
          <w:color w:val="000000"/>
          <w:kern w:val="0"/>
          <w:sz w:val="24"/>
          <w:szCs w:val="24"/>
        </w:rPr>
        <w:t>.3</w:t>
      </w:r>
      <w:r>
        <w:rPr>
          <w:rFonts w:hint="eastAsia" w:ascii="宋体" w:hAnsi="宋体" w:cs="宋体"/>
          <w:color w:val="000000"/>
          <w:kern w:val="0"/>
          <w:sz w:val="24"/>
          <w:szCs w:val="24"/>
        </w:rPr>
        <w:t>报价应当低于同类市场平均价格。除非磋商文件另有规定或经采购人同意支付的，最后报价均不得高于磋商文件（公告）列明的控制价、项目概算。</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9</w:t>
      </w:r>
      <w:r>
        <w:rPr>
          <w:rFonts w:ascii="宋体" w:hAnsi="宋体" w:cs="宋体"/>
          <w:color w:val="000000"/>
          <w:kern w:val="0"/>
          <w:sz w:val="24"/>
          <w:szCs w:val="24"/>
        </w:rPr>
        <w:t>.4</w:t>
      </w:r>
      <w:r>
        <w:rPr>
          <w:rFonts w:hint="eastAsia" w:ascii="宋体" w:hAnsi="宋体" w:cs="宋体"/>
          <w:color w:val="000000"/>
          <w:kern w:val="0"/>
          <w:sz w:val="24"/>
          <w:szCs w:val="24"/>
        </w:rPr>
        <w:t>投标供应商应在响应文件中注明拟提供工程项目的单价明细和总价。如果有计算或累加上的算术错误，将按以下方法进行修正：</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）如单价累计与总价不符，以单价累计为准；</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）小写与大写不符，以大写为准。</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9</w:t>
      </w:r>
      <w:r>
        <w:rPr>
          <w:rFonts w:ascii="宋体" w:hAnsi="宋体" w:cs="宋体"/>
          <w:color w:val="000000"/>
          <w:kern w:val="0"/>
          <w:sz w:val="24"/>
          <w:szCs w:val="24"/>
        </w:rPr>
        <w:t>.5</w:t>
      </w:r>
      <w:r>
        <w:rPr>
          <w:rFonts w:hint="eastAsia" w:ascii="宋体" w:hAnsi="宋体" w:cs="宋体"/>
          <w:color w:val="000000"/>
          <w:kern w:val="0"/>
          <w:sz w:val="24"/>
          <w:szCs w:val="24"/>
        </w:rPr>
        <w:t>采购人不建议投标供应商采用总价优惠或以总价百分比优惠的方式进行磋商报价，其优惠可直接计算并体现在各项磋商报价的单价中。</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9</w:t>
      </w:r>
      <w:r>
        <w:rPr>
          <w:rFonts w:ascii="宋体" w:hAnsi="宋体" w:cs="宋体"/>
          <w:color w:val="000000"/>
          <w:kern w:val="0"/>
          <w:sz w:val="24"/>
          <w:szCs w:val="24"/>
        </w:rPr>
        <w:t xml:space="preserve">.6 </w:t>
      </w:r>
      <w:r>
        <w:rPr>
          <w:rFonts w:hint="eastAsia" w:ascii="宋体" w:hAnsi="宋体" w:cs="宋体"/>
          <w:color w:val="000000"/>
          <w:kern w:val="0"/>
          <w:sz w:val="24"/>
          <w:szCs w:val="24"/>
        </w:rPr>
        <w:t>除非磋商文件另有规定，报价原则精确到小数点后两位，如不足两位，按照两位计算，如超出两位，按照四舍五入方式计算至小数点后两位（报价单位按磋商文件约定）。</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9</w:t>
      </w:r>
      <w:r>
        <w:rPr>
          <w:rFonts w:ascii="宋体" w:hAnsi="宋体" w:cs="宋体"/>
          <w:color w:val="000000"/>
          <w:kern w:val="0"/>
          <w:sz w:val="24"/>
          <w:szCs w:val="24"/>
        </w:rPr>
        <w:t>.7</w:t>
      </w:r>
      <w:r>
        <w:rPr>
          <w:rFonts w:hint="eastAsia" w:ascii="宋体" w:hAnsi="宋体" w:cs="宋体"/>
          <w:color w:val="000000"/>
          <w:kern w:val="0"/>
          <w:sz w:val="24"/>
          <w:szCs w:val="24"/>
        </w:rPr>
        <w:t>除政策性文件规定以外，投标供应商所报价格在合同实施期间不因市场变化因素而变动。</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10</w:t>
      </w:r>
      <w:r>
        <w:rPr>
          <w:rFonts w:ascii="宋体" w:hAnsi="宋体" w:cs="宋体"/>
          <w:color w:val="000000"/>
          <w:kern w:val="0"/>
          <w:sz w:val="24"/>
          <w:szCs w:val="24"/>
        </w:rPr>
        <w:t>.</w:t>
      </w:r>
      <w:r>
        <w:rPr>
          <w:rFonts w:hint="eastAsia" w:ascii="宋体" w:hAnsi="宋体" w:cs="宋体"/>
          <w:color w:val="000000"/>
          <w:kern w:val="0"/>
          <w:sz w:val="24"/>
          <w:szCs w:val="24"/>
        </w:rPr>
        <w:t>响应文件构成与格式</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10</w:t>
      </w:r>
      <w:r>
        <w:rPr>
          <w:rFonts w:ascii="宋体" w:hAnsi="宋体" w:cs="宋体"/>
          <w:color w:val="000000"/>
          <w:kern w:val="0"/>
          <w:sz w:val="24"/>
          <w:szCs w:val="24"/>
        </w:rPr>
        <w:t>.1</w:t>
      </w:r>
      <w:r>
        <w:rPr>
          <w:rFonts w:hint="eastAsia" w:ascii="宋体" w:hAnsi="宋体" w:cs="宋体"/>
          <w:color w:val="000000"/>
          <w:kern w:val="0"/>
          <w:sz w:val="24"/>
          <w:szCs w:val="24"/>
        </w:rPr>
        <w:t>投标供应商编写的响应文件应包括但不限于：</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）资格证明文件</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）磋商价格文件</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）技术、质量证明文件</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）业绩证明文件</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）其它资质证明文件</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10</w:t>
      </w:r>
      <w:r>
        <w:rPr>
          <w:rFonts w:ascii="宋体" w:hAnsi="宋体" w:cs="宋体"/>
          <w:color w:val="000000"/>
          <w:kern w:val="0"/>
          <w:sz w:val="24"/>
          <w:szCs w:val="24"/>
        </w:rPr>
        <w:t>.2</w:t>
      </w:r>
      <w:r>
        <w:rPr>
          <w:rFonts w:hint="eastAsia" w:ascii="宋体" w:hAnsi="宋体" w:cs="宋体"/>
          <w:color w:val="000000"/>
          <w:kern w:val="0"/>
          <w:sz w:val="24"/>
          <w:szCs w:val="24"/>
        </w:rPr>
        <w:t>除非注明“投标供应商可自行制作格式”，响应文件应使用磋商文件提供的格式。</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10</w:t>
      </w:r>
      <w:r>
        <w:rPr>
          <w:rFonts w:ascii="宋体" w:hAnsi="宋体" w:cs="宋体"/>
          <w:color w:val="000000"/>
          <w:kern w:val="0"/>
          <w:sz w:val="24"/>
          <w:szCs w:val="24"/>
        </w:rPr>
        <w:t>.3</w:t>
      </w:r>
      <w:r>
        <w:rPr>
          <w:rFonts w:hint="eastAsia" w:ascii="宋体" w:hAnsi="宋体" w:cs="宋体"/>
          <w:color w:val="000000"/>
          <w:kern w:val="0"/>
          <w:sz w:val="24"/>
          <w:szCs w:val="24"/>
        </w:rPr>
        <w:t>除专用术语外，响应文件以及投标供应商与采购人就有关磋商的往来函电均应使用中文。投标供应商提交的支持性文件和印制的文件可以用另一种语言，但相应内容应翻译成中文，对不同文字文本响应文件的解释发生异议的，以中文文本为准。</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10</w:t>
      </w:r>
      <w:r>
        <w:rPr>
          <w:rFonts w:ascii="宋体" w:hAnsi="宋体" w:cs="宋体"/>
          <w:color w:val="000000"/>
          <w:kern w:val="0"/>
          <w:sz w:val="24"/>
          <w:szCs w:val="24"/>
        </w:rPr>
        <w:t>.4</w:t>
      </w:r>
      <w:r>
        <w:rPr>
          <w:rFonts w:hint="eastAsia" w:ascii="宋体" w:hAnsi="宋体" w:cs="宋体"/>
          <w:color w:val="000000"/>
          <w:kern w:val="0"/>
          <w:sz w:val="24"/>
          <w:szCs w:val="24"/>
        </w:rPr>
        <w:t>除非磋商文件另有规定，响应文件应使用中华人民共和国法定计量单位。</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10</w:t>
      </w:r>
      <w:r>
        <w:rPr>
          <w:rFonts w:ascii="宋体" w:hAnsi="宋体" w:cs="宋体"/>
          <w:color w:val="000000"/>
          <w:kern w:val="0"/>
          <w:sz w:val="24"/>
          <w:szCs w:val="24"/>
        </w:rPr>
        <w:t>.5</w:t>
      </w:r>
      <w:r>
        <w:rPr>
          <w:rFonts w:hint="eastAsia" w:ascii="宋体" w:hAnsi="宋体" w:cs="宋体"/>
          <w:color w:val="000000"/>
          <w:kern w:val="0"/>
          <w:sz w:val="24"/>
          <w:szCs w:val="24"/>
        </w:rPr>
        <w:t>除非磋商文件另有规定，响应文件应使用人民币填报所有报价。允许以多种货币报价的，或涉及合同金额等计算的，均按照中国人民银行在磋商当日公布的汇率中间价换算成人民币。公司注册资本为外币，须折算成人民币的，按照公司成立日期当日</w:t>
      </w:r>
      <w:r>
        <w:rPr>
          <w:rFonts w:ascii="宋体" w:hAnsi="宋体" w:cs="宋体"/>
          <w:color w:val="000000"/>
          <w:kern w:val="0"/>
          <w:sz w:val="24"/>
          <w:szCs w:val="24"/>
        </w:rPr>
        <w:t>(</w:t>
      </w:r>
      <w:r>
        <w:rPr>
          <w:rFonts w:hint="eastAsia" w:ascii="宋体" w:hAnsi="宋体" w:cs="宋体"/>
          <w:color w:val="000000"/>
          <w:kern w:val="0"/>
          <w:sz w:val="24"/>
          <w:szCs w:val="24"/>
        </w:rPr>
        <w:t>以营业执照注明的成立日期为准）中国人民银行公布的汇率的中间价计算（投标供应商应提供成立日期当日中国人民银行公布的汇率的中间价作为参考）。</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10</w:t>
      </w:r>
      <w:r>
        <w:rPr>
          <w:rFonts w:ascii="宋体" w:hAnsi="宋体" w:cs="宋体"/>
          <w:color w:val="000000"/>
          <w:kern w:val="0"/>
          <w:sz w:val="24"/>
          <w:szCs w:val="24"/>
        </w:rPr>
        <w:t>.6</w:t>
      </w:r>
      <w:r>
        <w:rPr>
          <w:rFonts w:hint="eastAsia" w:ascii="宋体" w:hAnsi="宋体" w:cs="宋体"/>
          <w:color w:val="000000"/>
          <w:kern w:val="0"/>
          <w:sz w:val="24"/>
          <w:szCs w:val="24"/>
        </w:rPr>
        <w:t>投标供应商资质证书（或资格证明）处于年检、换证、升级、变更等期间，除非法律法规或发证机构有书面材料明确表明投标供应商资质（或资格</w:t>
      </w:r>
      <w:r>
        <w:rPr>
          <w:rFonts w:ascii="宋体" w:hAnsi="宋体" w:cs="宋体"/>
          <w:color w:val="000000"/>
          <w:kern w:val="0"/>
          <w:sz w:val="24"/>
          <w:szCs w:val="24"/>
        </w:rPr>
        <w:t>)</w:t>
      </w:r>
      <w:r>
        <w:rPr>
          <w:rFonts w:hint="eastAsia" w:ascii="宋体" w:hAnsi="宋体" w:cs="宋体"/>
          <w:color w:val="000000"/>
          <w:kern w:val="0"/>
          <w:sz w:val="24"/>
          <w:szCs w:val="24"/>
        </w:rPr>
        <w:t>有效，否则一律不予认可。</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10</w:t>
      </w:r>
      <w:r>
        <w:rPr>
          <w:rFonts w:ascii="宋体" w:hAnsi="宋体" w:cs="宋体"/>
          <w:color w:val="000000"/>
          <w:kern w:val="0"/>
          <w:sz w:val="24"/>
          <w:szCs w:val="24"/>
        </w:rPr>
        <w:t>.7</w:t>
      </w:r>
      <w:r>
        <w:rPr>
          <w:rFonts w:hint="eastAsia" w:ascii="宋体" w:hAnsi="宋体" w:cs="宋体"/>
          <w:color w:val="000000"/>
          <w:kern w:val="0"/>
          <w:sz w:val="24"/>
          <w:szCs w:val="24"/>
        </w:rPr>
        <w:t>响应文件应编制连续页码。响应文件除特殊规格的图纸或方案、图片资料等外，均应按</w:t>
      </w:r>
      <w:r>
        <w:rPr>
          <w:rFonts w:ascii="宋体" w:hAnsi="宋体" w:cs="宋体"/>
          <w:color w:val="000000"/>
          <w:kern w:val="0"/>
          <w:sz w:val="24"/>
          <w:szCs w:val="24"/>
        </w:rPr>
        <w:t>A4</w:t>
      </w:r>
      <w:r>
        <w:rPr>
          <w:rFonts w:hint="eastAsia" w:ascii="宋体" w:hAnsi="宋体" w:cs="宋体"/>
          <w:color w:val="000000"/>
          <w:kern w:val="0"/>
          <w:sz w:val="24"/>
          <w:szCs w:val="24"/>
        </w:rPr>
        <w:t>规格制作，为节约和环保，建议响应文件双面打印。</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10</w:t>
      </w:r>
      <w:r>
        <w:rPr>
          <w:rFonts w:ascii="宋体" w:hAnsi="宋体" w:cs="宋体"/>
          <w:color w:val="000000"/>
          <w:kern w:val="0"/>
          <w:sz w:val="24"/>
          <w:szCs w:val="24"/>
        </w:rPr>
        <w:t>.8</w:t>
      </w:r>
      <w:r>
        <w:rPr>
          <w:rFonts w:hint="eastAsia" w:ascii="宋体" w:hAnsi="宋体" w:cs="宋体"/>
          <w:color w:val="000000"/>
          <w:kern w:val="0"/>
          <w:sz w:val="24"/>
          <w:szCs w:val="24"/>
        </w:rPr>
        <w:t>一律不予退还投标供应商的响应文件。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11.</w:t>
      </w:r>
      <w:r>
        <w:rPr>
          <w:rFonts w:hint="eastAsia" w:ascii="宋体" w:hAnsi="宋体" w:cs="宋体"/>
          <w:color w:val="000000"/>
          <w:kern w:val="0"/>
          <w:sz w:val="24"/>
          <w:szCs w:val="24"/>
        </w:rPr>
        <w:t>磋商保证金</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11.1</w:t>
      </w:r>
      <w:r>
        <w:rPr>
          <w:rFonts w:hint="eastAsia" w:ascii="宋体" w:hAnsi="宋体" w:cs="宋体"/>
          <w:color w:val="000000"/>
          <w:kern w:val="0"/>
          <w:sz w:val="24"/>
          <w:szCs w:val="24"/>
        </w:rPr>
        <w:t>磋商前，投标供应商应向安徽鼎信项目管理股份有限公司提交投标供应商须知前附表规定金额的磋商保证金，作为响应文件的一部分，磋商保证金应当在响应文件递交截止时间前足额到达磋商公告指定账号。</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11.2</w:t>
      </w:r>
      <w:r>
        <w:rPr>
          <w:rFonts w:hint="eastAsia" w:ascii="宋体" w:hAnsi="宋体" w:cs="宋体"/>
          <w:color w:val="000000"/>
          <w:kern w:val="0"/>
          <w:sz w:val="24"/>
          <w:szCs w:val="24"/>
        </w:rPr>
        <w:t>磋商保证金可采取下列任何一种形式：</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）异地电汇；</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）本地转帐；</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11.3</w:t>
      </w:r>
      <w:r>
        <w:rPr>
          <w:rFonts w:hint="eastAsia" w:ascii="宋体" w:hAnsi="宋体" w:cs="宋体"/>
          <w:color w:val="000000"/>
          <w:kern w:val="0"/>
          <w:sz w:val="24"/>
          <w:szCs w:val="24"/>
        </w:rPr>
        <w:t>联合体磋商的，可以由联合体中的一方或者共同提交磋商保证金，以一方名义提交保证金的，对联合体各方均具有约束力。</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11.4</w:t>
      </w:r>
      <w:r>
        <w:rPr>
          <w:rFonts w:hint="eastAsia" w:ascii="宋体" w:hAnsi="宋体" w:cs="宋体"/>
          <w:color w:val="000000"/>
          <w:kern w:val="0"/>
          <w:sz w:val="24"/>
          <w:szCs w:val="24"/>
        </w:rPr>
        <w:t>安徽鼎信项目管理股份有限公司不接收以现金或汇票形式递交的磋商保证金；磋商保证金缴纳人名称与投标供应商名称应当一致。除非磋商文件另有规定，分公司或子公司代缴磋商保证金，视同名称不一致。磋商保证金缴纳人名称与投标供应商名称不一致的，磋商无效。</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11.5</w:t>
      </w:r>
      <w:r>
        <w:rPr>
          <w:rFonts w:hint="eastAsia" w:ascii="宋体" w:hAnsi="宋体" w:cs="宋体"/>
          <w:color w:val="000000"/>
          <w:kern w:val="0"/>
          <w:sz w:val="24"/>
          <w:szCs w:val="24"/>
        </w:rPr>
        <w:t>未按要求提交磋商保证金的，磋商无效。</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11.6</w:t>
      </w:r>
      <w:r>
        <w:rPr>
          <w:rFonts w:hint="eastAsia" w:ascii="宋体" w:hAnsi="宋体" w:cs="宋体"/>
          <w:color w:val="000000"/>
          <w:kern w:val="0"/>
          <w:sz w:val="24"/>
          <w:szCs w:val="24"/>
        </w:rPr>
        <w:t>安徽鼎信项目管理股份有限公司将在成交通知书发出后</w:t>
      </w:r>
      <w:r>
        <w:rPr>
          <w:rFonts w:ascii="宋体" w:hAnsi="宋体" w:cs="宋体"/>
          <w:color w:val="000000"/>
          <w:kern w:val="0"/>
          <w:sz w:val="24"/>
          <w:szCs w:val="24"/>
        </w:rPr>
        <w:t>7</w:t>
      </w:r>
      <w:r>
        <w:rPr>
          <w:rFonts w:hint="eastAsia" w:ascii="宋体" w:hAnsi="宋体" w:cs="宋体"/>
          <w:color w:val="000000"/>
          <w:kern w:val="0"/>
          <w:sz w:val="24"/>
          <w:szCs w:val="24"/>
        </w:rPr>
        <w:t>个工作日内退还未成交单位的磋商保证金，在采购合同签订后</w:t>
      </w:r>
      <w:r>
        <w:rPr>
          <w:rFonts w:ascii="宋体" w:hAnsi="宋体" w:cs="宋体"/>
          <w:color w:val="000000"/>
          <w:kern w:val="0"/>
          <w:sz w:val="24"/>
          <w:szCs w:val="24"/>
        </w:rPr>
        <w:t>7</w:t>
      </w:r>
      <w:r>
        <w:rPr>
          <w:rFonts w:hint="eastAsia" w:ascii="宋体" w:hAnsi="宋体" w:cs="宋体"/>
          <w:color w:val="000000"/>
          <w:kern w:val="0"/>
          <w:sz w:val="24"/>
          <w:szCs w:val="24"/>
        </w:rPr>
        <w:t>个工作日内退还成交单位的磋商保证金；磋商保证金只退还至参加本次磋商的投标供应商账户。</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11.7</w:t>
      </w:r>
      <w:r>
        <w:rPr>
          <w:rFonts w:hint="eastAsia" w:ascii="宋体" w:hAnsi="宋体" w:cs="宋体"/>
          <w:color w:val="000000"/>
          <w:kern w:val="0"/>
          <w:sz w:val="24"/>
          <w:szCs w:val="24"/>
        </w:rPr>
        <w:t>下列任何情况发生时，磋商保证金将不予退还：</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）投标供应商在提交响应文件截止时间后撤回响应文件的；</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）投标供应商在响应文件中提供虚假材料的；</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）除因不可抗力或磋商文件认可的情形以外，成交单位不与采购人签订合同的；</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）投标供应商与采购人、其他投标供应商或者采购代理机构恶意串通的；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磋商有效期</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12.1</w:t>
      </w:r>
      <w:r>
        <w:rPr>
          <w:rFonts w:hint="eastAsia" w:ascii="宋体" w:hAnsi="宋体" w:cs="宋体"/>
          <w:color w:val="000000"/>
          <w:kern w:val="0"/>
          <w:sz w:val="24"/>
          <w:szCs w:val="24"/>
        </w:rPr>
        <w:t>为保证采购人有足够的时间完成评标和与成交单位签订合同，规定磋商有效期。磋商有效期期限见投标供应商须知前附表。</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12.2</w:t>
      </w:r>
      <w:r>
        <w:rPr>
          <w:rFonts w:hint="eastAsia" w:ascii="宋体" w:hAnsi="宋体" w:cs="宋体"/>
          <w:color w:val="000000"/>
          <w:kern w:val="0"/>
          <w:sz w:val="24"/>
          <w:szCs w:val="24"/>
        </w:rPr>
        <w:t>在磋商有效期内，投标供应商的磋商保持有效，投标供应商不得要求撤销或修改其响应文件。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12.3</w:t>
      </w:r>
      <w:r>
        <w:rPr>
          <w:rFonts w:hint="eastAsia" w:ascii="宋体" w:hAnsi="宋体" w:cs="宋体"/>
          <w:color w:val="000000"/>
          <w:kern w:val="0"/>
          <w:sz w:val="24"/>
          <w:szCs w:val="24"/>
        </w:rPr>
        <w:t>磋商有效期从响应文件递交截止日起计算。</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12.4</w:t>
      </w:r>
      <w:r>
        <w:rPr>
          <w:rFonts w:hint="eastAsia" w:ascii="宋体" w:hAnsi="宋体" w:cs="宋体"/>
          <w:color w:val="000000"/>
          <w:kern w:val="0"/>
          <w:sz w:val="24"/>
          <w:szCs w:val="24"/>
        </w:rPr>
        <w:t>在原定磋商有效期满之前，如果出现特殊情况，可以书面形式提出延长磋商有效期的要求。投标供应商以书面形式予以答复，投标供应商可以拒绝这种要求而不被没收磋商保证金。同意延长磋商有效期的投标供应商不允许修改其响应文件的实质性内容，且需要相应地延长磋商保证金的有效期。</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13.</w:t>
      </w:r>
      <w:r>
        <w:rPr>
          <w:rFonts w:hint="eastAsia" w:ascii="宋体" w:hAnsi="宋体" w:cs="宋体"/>
          <w:color w:val="000000"/>
          <w:kern w:val="0"/>
          <w:sz w:val="24"/>
          <w:szCs w:val="24"/>
        </w:rPr>
        <w:t>响应文件份数和签署</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13.1</w:t>
      </w:r>
      <w:r>
        <w:rPr>
          <w:rFonts w:hint="eastAsia" w:ascii="宋体" w:hAnsi="宋体" w:cs="宋体"/>
          <w:color w:val="000000"/>
          <w:kern w:val="0"/>
          <w:sz w:val="24"/>
          <w:szCs w:val="24"/>
        </w:rPr>
        <w:t>投标供应商应按照磋商文件的要求编制响应文件，并在封面上注明“正本”和“副本”字样。响应文件的正本与副本如有不一致之处，以正本为准。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14.</w:t>
      </w:r>
      <w:r>
        <w:rPr>
          <w:rFonts w:hint="eastAsia" w:ascii="宋体" w:hAnsi="宋体" w:cs="宋体"/>
          <w:color w:val="000000"/>
          <w:kern w:val="0"/>
          <w:sz w:val="24"/>
          <w:szCs w:val="24"/>
        </w:rPr>
        <w:t>响应文件的封装和标记</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14.1</w:t>
      </w:r>
      <w:r>
        <w:rPr>
          <w:rFonts w:hint="eastAsia" w:ascii="宋体" w:hAnsi="宋体" w:cs="宋体"/>
          <w:color w:val="000000"/>
          <w:kern w:val="0"/>
          <w:sz w:val="24"/>
          <w:szCs w:val="24"/>
        </w:rPr>
        <w:t>响应文件应装订成册并封装，并在密封袋上标注项目名称、项目编号、投标供应商名称及包别。</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14.2</w:t>
      </w:r>
      <w:r>
        <w:rPr>
          <w:rFonts w:hint="eastAsia" w:ascii="宋体" w:hAnsi="宋体" w:cs="宋体"/>
          <w:color w:val="000000"/>
          <w:kern w:val="0"/>
          <w:sz w:val="24"/>
          <w:szCs w:val="24"/>
        </w:rPr>
        <w:t>如果未按规定封装或加写标记，安徽鼎信项目管理股份有限公司将不承担响应文件错放或提前拆封的责任，并可能导致磋商无效。</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15.</w:t>
      </w:r>
      <w:r>
        <w:rPr>
          <w:rFonts w:hint="eastAsia" w:ascii="宋体" w:hAnsi="宋体" w:cs="宋体"/>
          <w:color w:val="000000"/>
          <w:kern w:val="0"/>
          <w:sz w:val="24"/>
          <w:szCs w:val="24"/>
        </w:rPr>
        <w:t>响应文件的递交</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15.1</w:t>
      </w:r>
      <w:r>
        <w:rPr>
          <w:rFonts w:hint="eastAsia" w:ascii="宋体" w:hAnsi="宋体" w:cs="宋体"/>
          <w:color w:val="000000"/>
          <w:kern w:val="0"/>
          <w:sz w:val="24"/>
          <w:szCs w:val="24"/>
        </w:rPr>
        <w:t>投标供应商应当在响应文件递交截止时间前，将响应文件密封送达投标供应商须知前附表指定响应文件接收地点。</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15.2</w:t>
      </w:r>
      <w:r>
        <w:rPr>
          <w:rFonts w:hint="eastAsia" w:ascii="宋体" w:hAnsi="宋体" w:cs="宋体"/>
          <w:color w:val="000000"/>
          <w:kern w:val="0"/>
          <w:sz w:val="24"/>
          <w:szCs w:val="24"/>
        </w:rPr>
        <w:t>在响应文件递交时间之后送达的响应文件，将拒绝接收。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16.</w:t>
      </w:r>
      <w:r>
        <w:rPr>
          <w:rFonts w:hint="eastAsia" w:ascii="宋体" w:hAnsi="宋体" w:cs="宋体"/>
          <w:color w:val="000000"/>
          <w:kern w:val="0"/>
          <w:sz w:val="24"/>
          <w:szCs w:val="24"/>
        </w:rPr>
        <w:t>响应文件的修改和撤回</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16.1</w:t>
      </w:r>
      <w:r>
        <w:rPr>
          <w:rFonts w:hint="eastAsia" w:ascii="宋体" w:hAnsi="宋体" w:cs="宋体"/>
          <w:color w:val="000000"/>
          <w:kern w:val="0"/>
          <w:sz w:val="24"/>
          <w:szCs w:val="24"/>
        </w:rPr>
        <w:t>投标供应商在递交响应文件截止时间前，可以对所提交的响应文件进行补充、修改或者撤回，并以书面形式通知采购人及招标代理机构。补充、修改的内容作为响应文件的组成部分。补充、修改的内容与响应文件不一致的，以补充、修改的内容为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16.2</w:t>
      </w:r>
      <w:r>
        <w:rPr>
          <w:rFonts w:hint="eastAsia" w:ascii="宋体" w:hAnsi="宋体" w:cs="宋体"/>
          <w:color w:val="000000"/>
          <w:kern w:val="0"/>
          <w:sz w:val="24"/>
          <w:szCs w:val="24"/>
        </w:rPr>
        <w:t>投标供应商的修改书或撤回通知书，应按规定进行编制、密封、标记和递交，且在内层信封上标明“修改”或“撤回”字样。</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16.3</w:t>
      </w:r>
      <w:r>
        <w:rPr>
          <w:rFonts w:hint="eastAsia" w:ascii="宋体" w:hAnsi="宋体" w:cs="宋体"/>
          <w:color w:val="000000"/>
          <w:kern w:val="0"/>
          <w:sz w:val="24"/>
          <w:szCs w:val="24"/>
        </w:rPr>
        <w:t>递交响应文件截止时间后不得修改响应文件。但属于磋商小组在评审中发现的计算错误并进行核实的修改、按照磋商文件的变动情况和磋商小组的要求重新提交响应文件的，不在此列。</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17.</w:t>
      </w:r>
      <w:r>
        <w:rPr>
          <w:rFonts w:hint="eastAsia" w:ascii="宋体" w:hAnsi="宋体" w:cs="宋体"/>
          <w:color w:val="000000"/>
          <w:kern w:val="0"/>
          <w:sz w:val="24"/>
          <w:szCs w:val="24"/>
        </w:rPr>
        <w:t>接收响应文件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17.1</w:t>
      </w:r>
      <w:r>
        <w:rPr>
          <w:rFonts w:hint="eastAsia" w:ascii="宋体" w:hAnsi="宋体" w:cs="宋体"/>
          <w:color w:val="000000"/>
          <w:kern w:val="0"/>
          <w:sz w:val="24"/>
          <w:szCs w:val="24"/>
        </w:rPr>
        <w:t>安徽鼎信项目管理股份有限公司将在投标供应商须知前附表规定的时间和地点接收响应文件。投标供应商代表（法定代表人或其授权代表）应携带身份证明参加并签到。投标供应商代表不到磋商现场，其响应文件将被拒绝。</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17.2</w:t>
      </w:r>
      <w:r>
        <w:rPr>
          <w:rFonts w:hint="eastAsia" w:ascii="宋体" w:hAnsi="宋体" w:cs="宋体"/>
          <w:color w:val="000000"/>
          <w:kern w:val="0"/>
          <w:sz w:val="24"/>
          <w:szCs w:val="24"/>
        </w:rPr>
        <w:t>在磋商过程中，投标供应商提交的澄清、说明或者更正和最后报价等响应文件应当由投标供应商代表签字或者加盖公章后生效，投标供应商应受其约束。</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18.</w:t>
      </w:r>
      <w:r>
        <w:rPr>
          <w:rFonts w:hint="eastAsia" w:ascii="宋体" w:hAnsi="宋体" w:cs="宋体"/>
          <w:color w:val="000000"/>
          <w:kern w:val="0"/>
          <w:sz w:val="24"/>
          <w:szCs w:val="24"/>
        </w:rPr>
        <w:t>磋商小组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18.1</w:t>
      </w:r>
      <w:r>
        <w:rPr>
          <w:rFonts w:hint="eastAsia" w:ascii="宋体" w:hAnsi="宋体" w:cs="宋体"/>
          <w:color w:val="000000"/>
          <w:kern w:val="0"/>
          <w:sz w:val="24"/>
          <w:szCs w:val="24"/>
        </w:rPr>
        <w:t>本项目将依法组建磋商小组，磋商小组成员由</w:t>
      </w:r>
      <w:r>
        <w:rPr>
          <w:rFonts w:ascii="宋体" w:hAnsi="宋体" w:cs="宋体"/>
          <w:color w:val="000000"/>
          <w:kern w:val="0"/>
          <w:sz w:val="24"/>
          <w:szCs w:val="24"/>
        </w:rPr>
        <w:t>3</w:t>
      </w:r>
      <w:r>
        <w:rPr>
          <w:rFonts w:hint="eastAsia" w:ascii="宋体" w:hAnsi="宋体" w:cs="宋体"/>
          <w:color w:val="000000"/>
          <w:kern w:val="0"/>
          <w:sz w:val="24"/>
          <w:szCs w:val="24"/>
        </w:rPr>
        <w:t>人以上单数组成，磋商小组及其成员应当依照有关规定履行相关职责和义务。</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18.2</w:t>
      </w:r>
      <w:r>
        <w:rPr>
          <w:rFonts w:hint="eastAsia" w:ascii="宋体" w:hAnsi="宋体" w:cs="宋体"/>
          <w:color w:val="000000"/>
          <w:kern w:val="0"/>
          <w:sz w:val="24"/>
          <w:szCs w:val="24"/>
        </w:rPr>
        <w:t>磋商小组依法对响应文件进行评审，并根据磋商文件规定的程序、评定成交的标准等事项与实质性响应磋商文件要求的投标供应商进行磋商。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18.3</w:t>
      </w:r>
      <w:r>
        <w:rPr>
          <w:rFonts w:hint="eastAsia" w:ascii="宋体" w:hAnsi="宋体" w:cs="宋体"/>
          <w:color w:val="000000"/>
          <w:kern w:val="0"/>
          <w:sz w:val="24"/>
          <w:szCs w:val="24"/>
        </w:rPr>
        <w:t>磋商小组应当从质量和服务均能满足磋商文件实质性响应要求的投标供应商中，按照评审办法提出成交候选单位，并编写评审报告。</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w:t>
      </w:r>
      <w:r>
        <w:rPr>
          <w:rFonts w:hint="eastAsia" w:ascii="宋体" w:hAnsi="宋体" w:cs="宋体"/>
          <w:color w:val="000000"/>
          <w:kern w:val="0"/>
          <w:sz w:val="24"/>
          <w:szCs w:val="24"/>
        </w:rPr>
        <w:t>响应文件评审与磋商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19.1</w:t>
      </w:r>
      <w:r>
        <w:rPr>
          <w:rFonts w:hint="eastAsia" w:ascii="宋体" w:hAnsi="宋体" w:cs="宋体"/>
          <w:color w:val="000000"/>
          <w:kern w:val="0"/>
          <w:sz w:val="24"/>
          <w:szCs w:val="24"/>
        </w:rPr>
        <w:t>竞争性磋商活动采用综合评分法评审。</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综合评分法，是指响应文件满足磋商文件全部实质性要求且按评审因素的量化指标评审得分最高的投标供应商为成交候选单位的评审方法。</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19.2</w:t>
      </w:r>
      <w:r>
        <w:rPr>
          <w:rFonts w:hint="eastAsia" w:ascii="宋体" w:hAnsi="宋体" w:cs="宋体"/>
          <w:color w:val="000000"/>
          <w:kern w:val="0"/>
          <w:sz w:val="24"/>
          <w:szCs w:val="24"/>
        </w:rPr>
        <w:t>磋商采用综合评分的办法，对实质性响应的响应文件就技术、资信等诸多因素进行评审打分。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19.3</w:t>
      </w:r>
      <w:r>
        <w:rPr>
          <w:rFonts w:hint="eastAsia" w:ascii="宋体" w:hAnsi="宋体" w:cs="宋体"/>
          <w:color w:val="000000"/>
          <w:kern w:val="0"/>
          <w:sz w:val="24"/>
          <w:szCs w:val="24"/>
        </w:rPr>
        <w:t>磋商小组将对响应文件的有效性、完整性和响应程度进行审查，审查时可以要求投标供应商对响应文件中含义不明确、同类问题表述不一致或者有明显文字和计算错误的内容等作出必要的澄清、说明或者更正。投标供应商的澄清、说明或者更正不得超出响应文件的范围或者改变响应文件的实质性内容。</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19.4</w:t>
      </w:r>
      <w:r>
        <w:rPr>
          <w:rFonts w:hint="eastAsia" w:ascii="宋体" w:hAnsi="宋体" w:cs="宋体"/>
          <w:color w:val="000000"/>
          <w:kern w:val="0"/>
          <w:sz w:val="24"/>
          <w:szCs w:val="24"/>
        </w:rPr>
        <w:t>磋商小组要求投标供应商澄清、说明或者更正响应文件应当以书面形式作出。投标供应商的澄清、说明或者更正应当由法定代表人或其授权代表签字或者加盖公章。由授权代表签字的，应当附法定代表人授权书。投标供应商为自然人的，应当由本人签字并附身份证明。</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19.5</w:t>
      </w:r>
      <w:r>
        <w:rPr>
          <w:rFonts w:hint="eastAsia" w:ascii="宋体" w:hAnsi="宋体" w:cs="宋体"/>
          <w:color w:val="000000"/>
          <w:kern w:val="0"/>
          <w:sz w:val="24"/>
          <w:szCs w:val="24"/>
        </w:rPr>
        <w:t>投标供应商未实质性响应磋商文件要求的，磋商小组将以书面询标的方式告知有关投标供应商。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19.6</w:t>
      </w:r>
      <w:r>
        <w:rPr>
          <w:rFonts w:hint="eastAsia" w:ascii="宋体" w:hAnsi="宋体" w:cs="宋体"/>
          <w:color w:val="000000"/>
          <w:kern w:val="0"/>
          <w:sz w:val="24"/>
          <w:szCs w:val="24"/>
        </w:rPr>
        <w:t>磋商小组按评审办法对响应文件进行初审和综合评审，各投标供应商的得分分值一经得出，并核对无误后，任何人不得更改。</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19.7</w:t>
      </w:r>
      <w:r>
        <w:rPr>
          <w:rFonts w:hint="eastAsia" w:ascii="宋体" w:hAnsi="宋体" w:cs="宋体"/>
          <w:color w:val="000000"/>
          <w:kern w:val="0"/>
          <w:sz w:val="24"/>
          <w:szCs w:val="24"/>
        </w:rPr>
        <w:t>投标供应商通过抽签方式产生磋商排列顺序，磋商小组将按顺序分别与投标供应商就磋商报价、服务方案、服务承诺等内容进行磋商。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19.8</w:t>
      </w:r>
      <w:r>
        <w:rPr>
          <w:rFonts w:hint="eastAsia" w:ascii="宋体" w:hAnsi="宋体" w:cs="宋体"/>
          <w:color w:val="000000"/>
          <w:kern w:val="0"/>
          <w:sz w:val="24"/>
          <w:szCs w:val="24"/>
        </w:rPr>
        <w:t>磋商小组所有成员集中与单一投标供应商分别进行磋商，并给予所有参加磋商的投标供应商平等的磋商机会。在磋商内容不做实质性变更及重大调整的前提下，投标供应商下轮报价不得高于上一轮报价（高价成交的除外）。</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19.9</w:t>
      </w:r>
      <w:r>
        <w:rPr>
          <w:rFonts w:hint="eastAsia" w:ascii="宋体" w:hAnsi="宋体" w:cs="宋体"/>
          <w:color w:val="000000"/>
          <w:kern w:val="0"/>
          <w:sz w:val="24"/>
          <w:szCs w:val="24"/>
        </w:rPr>
        <w:t>为保证磋商活动顺利进行，投标供应商应派相关技术人员进行现场答疑；在磋商结束前，未得到安徽鼎信项目管理股份有限公司允许，投标供应商代表不得离开候标场地现场。</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19.10</w:t>
      </w:r>
      <w:r>
        <w:rPr>
          <w:rFonts w:hint="eastAsia" w:ascii="宋体" w:hAnsi="宋体" w:cs="宋体"/>
          <w:color w:val="000000"/>
          <w:kern w:val="0"/>
          <w:sz w:val="24"/>
          <w:szCs w:val="24"/>
        </w:rPr>
        <w:t>磋商小组根据与投标供应商磋商情况可能实质性变动磋商文件的内容，包括采购需求中的技术、服务要求以及合同草案条款。磋商文件有实质性变动的，经采购人代表确认作为磋商文件的有效组成部分，磋商小组将以书面形式通知所有参加磋商的投标供应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19.11</w:t>
      </w:r>
      <w:r>
        <w:rPr>
          <w:rFonts w:hint="eastAsia" w:ascii="宋体" w:hAnsi="宋体" w:cs="宋体"/>
          <w:color w:val="000000"/>
          <w:kern w:val="0"/>
          <w:sz w:val="24"/>
          <w:szCs w:val="24"/>
        </w:rPr>
        <w:t>磋商过程中，磋商小组发现投标供应商的报价或者某些分项报价明显不合理或者低于成本，有可能影响商品质量和不能诚信履约的，应当要求其在规定的期限内提供书面文件予以解释说明，并提交相关证明材料；否则，磋商小组可以取消该投标供应商的成交候选资格，按顺序由排在后面的成交候选单位递补，以此类推。</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19.12</w:t>
      </w:r>
      <w:r>
        <w:rPr>
          <w:rFonts w:hint="eastAsia" w:ascii="宋体" w:hAnsi="宋体" w:cs="宋体"/>
          <w:color w:val="000000"/>
          <w:kern w:val="0"/>
          <w:sz w:val="24"/>
          <w:szCs w:val="24"/>
        </w:rPr>
        <w:t>磋商结束后，磋商小组应当要求所有继续参加磋商的投标供应商在规定时间内提交最后报价，最后报价是投标供应商响应文件的有效组成部分，最后报价也是签订合同的依据。</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20.</w:t>
      </w:r>
      <w:r>
        <w:rPr>
          <w:rFonts w:hint="eastAsia" w:ascii="宋体" w:hAnsi="宋体" w:cs="宋体"/>
          <w:color w:val="000000"/>
          <w:kern w:val="0"/>
          <w:sz w:val="24"/>
          <w:szCs w:val="24"/>
        </w:rPr>
        <w:t>终止竞争性磋商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20.1</w:t>
      </w:r>
      <w:r>
        <w:rPr>
          <w:rFonts w:hint="eastAsia" w:ascii="宋体" w:hAnsi="宋体" w:cs="宋体"/>
          <w:color w:val="000000"/>
          <w:kern w:val="0"/>
          <w:sz w:val="24"/>
          <w:szCs w:val="24"/>
        </w:rPr>
        <w:t>出现下列情况之一时，有权宣布终止竞争性磋商采购，并将理由通知所有投标供应商：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20.1.1</w:t>
      </w:r>
      <w:r>
        <w:rPr>
          <w:rFonts w:hint="eastAsia" w:ascii="宋体" w:hAnsi="宋体" w:cs="宋体"/>
          <w:color w:val="000000"/>
          <w:kern w:val="0"/>
          <w:sz w:val="24"/>
          <w:szCs w:val="24"/>
        </w:rPr>
        <w:t>有效投标供应商数量不足，导致本次磋商缺乏竞争的；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20.1.2</w:t>
      </w:r>
      <w:r>
        <w:rPr>
          <w:rFonts w:hint="eastAsia" w:ascii="宋体" w:hAnsi="宋体" w:cs="宋体"/>
          <w:color w:val="000000"/>
          <w:kern w:val="0"/>
          <w:sz w:val="24"/>
          <w:szCs w:val="24"/>
        </w:rPr>
        <w:t>出现影响采购公正的违法、违规行为的；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20.1.3</w:t>
      </w:r>
      <w:r>
        <w:rPr>
          <w:rFonts w:hint="eastAsia" w:ascii="宋体" w:hAnsi="宋体" w:cs="宋体"/>
          <w:color w:val="000000"/>
          <w:kern w:val="0"/>
          <w:sz w:val="24"/>
          <w:szCs w:val="24"/>
        </w:rPr>
        <w:t>因重大变故，采购任务取消的。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21.</w:t>
      </w:r>
      <w:r>
        <w:rPr>
          <w:rFonts w:hint="eastAsia" w:ascii="宋体" w:hAnsi="宋体" w:cs="宋体"/>
          <w:color w:val="000000"/>
          <w:kern w:val="0"/>
          <w:sz w:val="24"/>
          <w:szCs w:val="24"/>
        </w:rPr>
        <w:t>二次采购</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21.1</w:t>
      </w:r>
      <w:r>
        <w:rPr>
          <w:rFonts w:hint="eastAsia" w:ascii="宋体" w:hAnsi="宋体" w:cs="宋体"/>
          <w:color w:val="000000"/>
          <w:kern w:val="0"/>
          <w:sz w:val="24"/>
          <w:szCs w:val="24"/>
        </w:rPr>
        <w:t>项目终止竞争性磋商采购后，可能发布二次公告（磋商邀请），进行二次采购。</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前款所述“二次”，系指项目终止竞争性磋商采购后的重新公告及采购，并不仅限于项目的第二次公告及采购。</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21.2</w:t>
      </w:r>
      <w:r>
        <w:rPr>
          <w:rFonts w:hint="eastAsia" w:ascii="宋体" w:hAnsi="宋体" w:cs="宋体"/>
          <w:color w:val="000000"/>
          <w:kern w:val="0"/>
          <w:sz w:val="24"/>
          <w:szCs w:val="24"/>
        </w:rPr>
        <w:t>二次公告发布后，前次报名成功的投标供应商，符合二次公告投标供应商资格的，需重新报名购买竞争性磋商文件。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21.3</w:t>
      </w:r>
      <w:r>
        <w:rPr>
          <w:rFonts w:hint="eastAsia" w:ascii="宋体" w:hAnsi="宋体" w:cs="宋体"/>
          <w:color w:val="000000"/>
          <w:kern w:val="0"/>
          <w:sz w:val="24"/>
          <w:szCs w:val="24"/>
        </w:rPr>
        <w:t>二次采购可能调整前次采购的各项规定及要求，包括采购方式、项目预算、投标供应商资格、付款方式、采购需求、评审办法等。投标供应商参与二次采购，应及时获取二次磋商文件，以二次磋商文件为依据，编制二次响应文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21.4</w:t>
      </w:r>
      <w:r>
        <w:rPr>
          <w:rFonts w:hint="eastAsia" w:ascii="宋体" w:hAnsi="宋体" w:cs="宋体"/>
          <w:color w:val="000000"/>
          <w:kern w:val="0"/>
          <w:sz w:val="24"/>
          <w:szCs w:val="24"/>
        </w:rPr>
        <w:t>二次采购结果公示结束前，原则上不予退还投标供应商前次采购缴纳的磋商保证金。投标供应商提出书面说明不再参与二次采购并要求退还磋商保证金的，予以退还。</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21.5</w:t>
      </w:r>
      <w:r>
        <w:rPr>
          <w:rFonts w:hint="eastAsia" w:ascii="宋体" w:hAnsi="宋体" w:cs="宋体"/>
          <w:color w:val="000000"/>
          <w:kern w:val="0"/>
          <w:sz w:val="24"/>
          <w:szCs w:val="24"/>
        </w:rPr>
        <w:t>前次采购已按规定缴纳磋商保证金的，无须再次缴纳磋商保证金。但是二次采购较前次采购约定磋商保证金金额高的除外。</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22.</w:t>
      </w:r>
      <w:r>
        <w:rPr>
          <w:rFonts w:hint="eastAsia" w:ascii="宋体" w:hAnsi="宋体" w:cs="宋体"/>
          <w:color w:val="000000"/>
          <w:kern w:val="0"/>
          <w:sz w:val="24"/>
          <w:szCs w:val="24"/>
        </w:rPr>
        <w:t>确定成交单位</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22.1</w:t>
      </w:r>
      <w:r>
        <w:rPr>
          <w:rFonts w:hint="eastAsia" w:ascii="宋体" w:hAnsi="宋体" w:cs="宋体"/>
          <w:color w:val="000000"/>
          <w:kern w:val="0"/>
          <w:sz w:val="24"/>
          <w:szCs w:val="24"/>
        </w:rPr>
        <w:t>磋商小组根据详细评审的结果确定成交候选单位，在</w:t>
      </w:r>
      <w:r>
        <w:rPr>
          <w:rFonts w:hint="eastAsia" w:ascii="宋体" w:hAnsi="宋体" w:cs="宋体"/>
          <w:color w:val="000000"/>
          <w:kern w:val="0"/>
          <w:sz w:val="24"/>
          <w:szCs w:val="24"/>
          <w:lang w:eastAsia="zh-CN"/>
        </w:rPr>
        <w:t>芜湖市急救中心网站（http://www.ahwh120.com/）</w:t>
      </w:r>
      <w:r>
        <w:rPr>
          <w:rFonts w:hint="eastAsia" w:ascii="宋体" w:hAnsi="宋体" w:cs="宋体"/>
          <w:color w:val="000000"/>
          <w:kern w:val="0"/>
          <w:sz w:val="24"/>
          <w:szCs w:val="24"/>
        </w:rPr>
        <w:t>予以公告。</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22.2</w:t>
      </w:r>
      <w:r>
        <w:rPr>
          <w:rFonts w:hint="eastAsia" w:ascii="宋体" w:hAnsi="宋体" w:cs="宋体"/>
          <w:color w:val="000000"/>
          <w:kern w:val="0"/>
          <w:sz w:val="24"/>
          <w:szCs w:val="24"/>
        </w:rPr>
        <w:t>如磋商小组认为有必要，可以对排名第一的成交候选单位就响应文件所提供的内容是否符合磋商文件的要求进行资格后审。如果确定排名第一的成交候选单位无法履行合同，将依次对其他成交候选单位进行类似的审查。</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排名第一的成交候选单位放弃成交、不按照磋商文件要求提交履约保证金、无故不能履行合同，或者被查实存在影响成交结果的违法行为等情形，不符合成交条件的，采购人可以按照磋商小组提出的成交候选单位名单排序依次确定其他成交候选单位为成交单位，也可以重新磋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22.3</w:t>
      </w:r>
      <w:r>
        <w:rPr>
          <w:rFonts w:hint="eastAsia" w:ascii="宋体" w:hAnsi="宋体" w:cs="宋体"/>
          <w:color w:val="000000"/>
          <w:kern w:val="0"/>
          <w:sz w:val="24"/>
          <w:szCs w:val="24"/>
        </w:rPr>
        <w:t>不接受最终审查或在最终审查过程中提供虚假资料的成交单位，成交单位资格将被取消，同时按照政府采购的相关法律、法规予以处罚。</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23.</w:t>
      </w:r>
      <w:r>
        <w:rPr>
          <w:rFonts w:hint="eastAsia" w:ascii="宋体" w:hAnsi="宋体" w:cs="宋体"/>
          <w:color w:val="000000"/>
          <w:kern w:val="0"/>
          <w:sz w:val="24"/>
          <w:szCs w:val="24"/>
        </w:rPr>
        <w:t>成交通知书</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23.1</w:t>
      </w:r>
      <w:r>
        <w:rPr>
          <w:rFonts w:hint="eastAsia" w:ascii="宋体" w:hAnsi="宋体" w:cs="宋体"/>
          <w:color w:val="000000"/>
          <w:kern w:val="0"/>
          <w:sz w:val="24"/>
          <w:szCs w:val="24"/>
        </w:rPr>
        <w:t>各方均无异议或最终审查结果无误的成交单位，将向其发出成交通知书。成交通知书是合同的组成部分。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23.2</w:t>
      </w:r>
      <w:r>
        <w:rPr>
          <w:rFonts w:hint="eastAsia" w:ascii="宋体" w:hAnsi="宋体" w:cs="宋体"/>
          <w:color w:val="000000"/>
          <w:kern w:val="0"/>
          <w:sz w:val="24"/>
          <w:szCs w:val="24"/>
        </w:rPr>
        <w:t>成交单位应委派专人凭介绍信或公司授权书（须携带身份证）到安徽鼎信项目管理股份有限公司领取成交通知书。</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24.</w:t>
      </w:r>
      <w:r>
        <w:rPr>
          <w:rFonts w:hint="eastAsia" w:ascii="宋体" w:hAnsi="宋体" w:cs="宋体"/>
          <w:color w:val="000000"/>
          <w:kern w:val="0"/>
          <w:sz w:val="24"/>
          <w:szCs w:val="24"/>
        </w:rPr>
        <w:t>履约保证金</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24.1</w:t>
      </w:r>
      <w:r>
        <w:rPr>
          <w:rFonts w:hint="eastAsia" w:ascii="宋体" w:hAnsi="宋体" w:cs="宋体"/>
          <w:color w:val="000000"/>
          <w:kern w:val="0"/>
          <w:sz w:val="24"/>
          <w:szCs w:val="24"/>
        </w:rPr>
        <w:t>成交单位在收到成交通知书后七个工作日内，应按照磋商前须知附表规定缴纳履约保证金。</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24.2</w:t>
      </w:r>
      <w:r>
        <w:rPr>
          <w:rFonts w:hint="eastAsia" w:ascii="宋体" w:hAnsi="宋体" w:cs="宋体"/>
          <w:color w:val="000000"/>
          <w:kern w:val="0"/>
          <w:sz w:val="24"/>
          <w:szCs w:val="24"/>
        </w:rPr>
        <w:t>投标供应商须知前附表约定免收履约保证金的，从其规定。</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24.3</w:t>
      </w:r>
      <w:r>
        <w:rPr>
          <w:rFonts w:hint="eastAsia" w:ascii="宋体" w:hAnsi="宋体" w:cs="宋体"/>
          <w:color w:val="000000"/>
          <w:kern w:val="0"/>
          <w:sz w:val="24"/>
          <w:szCs w:val="24"/>
        </w:rPr>
        <w:t>如果成交单位未按照上款规定缴纳履约保证金，有权取消该授标，并没收其磋商保证金。在此情况下采购人可从合格的成交候选单位中另行确定成交单位，或者重新开展采购活动。</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25.</w:t>
      </w:r>
      <w:r>
        <w:rPr>
          <w:rFonts w:hint="eastAsia" w:ascii="宋体" w:hAnsi="宋体" w:cs="宋体"/>
          <w:color w:val="000000"/>
          <w:kern w:val="0"/>
          <w:sz w:val="24"/>
          <w:szCs w:val="24"/>
        </w:rPr>
        <w:t>签订合同</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25.1</w:t>
      </w:r>
      <w:r>
        <w:rPr>
          <w:rFonts w:hint="eastAsia" w:ascii="宋体" w:hAnsi="宋体" w:cs="宋体"/>
          <w:color w:val="000000"/>
          <w:kern w:val="0"/>
          <w:sz w:val="24"/>
          <w:szCs w:val="24"/>
        </w:rPr>
        <w:t>成交单位应按规定的时间、地点与采购人签订采购合同。</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25.2</w:t>
      </w:r>
      <w:r>
        <w:rPr>
          <w:rFonts w:hint="eastAsia" w:ascii="宋体" w:hAnsi="宋体" w:cs="宋体"/>
          <w:color w:val="000000"/>
          <w:kern w:val="0"/>
          <w:sz w:val="24"/>
          <w:szCs w:val="24"/>
        </w:rPr>
        <w:t>采购双方应按照磋商文件、响应文件及磋商过程中的有关澄清、说明、或补正文件的内容签订合同，不得擅自变更。合同的标的、价款、质量、履行期限等主要条款应当与磋商文件和成交单位的响应文件的内容一致，采购人和成交单位不得再行订立背离合同实质性内容的其他协议。对任何因双方擅自变更合同引起的问题招标代理机构概不负责，合同风险由双方自行承担。</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w:t>
      </w:r>
      <w:r>
        <w:rPr>
          <w:rFonts w:hint="eastAsia" w:ascii="宋体" w:hAnsi="宋体" w:cs="宋体"/>
          <w:color w:val="000000"/>
          <w:kern w:val="0"/>
          <w:sz w:val="24"/>
          <w:szCs w:val="24"/>
        </w:rPr>
        <w:t>质疑</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26.1</w:t>
      </w:r>
      <w:r>
        <w:rPr>
          <w:rFonts w:hint="eastAsia" w:ascii="宋体" w:hAnsi="宋体" w:cs="宋体"/>
          <w:color w:val="000000"/>
          <w:kern w:val="0"/>
          <w:sz w:val="24"/>
          <w:szCs w:val="24"/>
        </w:rPr>
        <w:t>质疑人认为成交结果使自己的权益受到损害的，可以提出质疑。质疑实行实名制，应当有具体的事项及根据，不得进行虚假、恶意质疑，扰乱公共资源交易活动正常的工作秩序。</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26.2</w:t>
      </w:r>
      <w:r>
        <w:rPr>
          <w:rFonts w:hint="eastAsia" w:ascii="宋体" w:hAnsi="宋体" w:cs="宋体"/>
          <w:color w:val="000000"/>
          <w:kern w:val="0"/>
          <w:sz w:val="24"/>
          <w:szCs w:val="24"/>
        </w:rPr>
        <w:t>质疑应在规定时限内提出：</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对采购成交结果的质疑，应在预成交结果公布之日起七个工作日内提出。</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26.3</w:t>
      </w:r>
      <w:r>
        <w:rPr>
          <w:rFonts w:hint="eastAsia" w:ascii="宋体" w:hAnsi="宋体" w:cs="宋体"/>
          <w:color w:val="000000"/>
          <w:kern w:val="0"/>
          <w:sz w:val="24"/>
          <w:szCs w:val="24"/>
        </w:rPr>
        <w:t>质疑应由投标供应商授权代表（或法定代表人）以书面形式提出。质疑人对成交结果的质疑书应当包括下列主要内容：</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26.3.1</w:t>
      </w:r>
      <w:r>
        <w:rPr>
          <w:rFonts w:hint="eastAsia" w:ascii="宋体" w:hAnsi="宋体" w:cs="宋体"/>
          <w:color w:val="000000"/>
          <w:kern w:val="0"/>
          <w:sz w:val="24"/>
          <w:szCs w:val="24"/>
        </w:rPr>
        <w:t>质疑人的名称、地址、联系电话；</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26.3.2</w:t>
      </w:r>
      <w:r>
        <w:rPr>
          <w:rFonts w:hint="eastAsia" w:ascii="宋体" w:hAnsi="宋体" w:cs="宋体"/>
          <w:color w:val="000000"/>
          <w:kern w:val="0"/>
          <w:sz w:val="24"/>
          <w:szCs w:val="24"/>
        </w:rPr>
        <w:t>项目名称、项目编号及标段号或分包号；</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26.3.3</w:t>
      </w:r>
      <w:r>
        <w:rPr>
          <w:rFonts w:hint="eastAsia" w:ascii="宋体" w:hAnsi="宋体" w:cs="宋体"/>
          <w:color w:val="000000"/>
          <w:kern w:val="0"/>
          <w:sz w:val="24"/>
          <w:szCs w:val="24"/>
        </w:rPr>
        <w:t>具体的质疑事项、基本事实及相关证明材料；</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26.3.4</w:t>
      </w:r>
      <w:r>
        <w:rPr>
          <w:rFonts w:hint="eastAsia" w:ascii="宋体" w:hAnsi="宋体" w:cs="宋体"/>
          <w:color w:val="000000"/>
          <w:kern w:val="0"/>
          <w:sz w:val="24"/>
          <w:szCs w:val="24"/>
        </w:rPr>
        <w:t>相关要求及主张；</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26.3.5</w:t>
      </w:r>
      <w:r>
        <w:rPr>
          <w:rFonts w:hint="eastAsia" w:ascii="宋体" w:hAnsi="宋体" w:cs="宋体"/>
          <w:color w:val="000000"/>
          <w:kern w:val="0"/>
          <w:sz w:val="24"/>
          <w:szCs w:val="24"/>
        </w:rPr>
        <w:t>提起质疑的日期。</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26.4</w:t>
      </w:r>
      <w:r>
        <w:rPr>
          <w:rFonts w:hint="eastAsia" w:ascii="宋体" w:hAnsi="宋体" w:cs="宋体"/>
          <w:color w:val="000000"/>
          <w:kern w:val="0"/>
          <w:sz w:val="24"/>
          <w:szCs w:val="24"/>
        </w:rPr>
        <w:t>质疑书应当署名。质疑人为法人或者其他组织的，应当由法定代表人或其委托代理人签章并加盖公章。其他利害关系人提出的质疑书除以上内容外，还应提供涉及利害关系的证明文件。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26.5</w:t>
      </w:r>
      <w:r>
        <w:rPr>
          <w:rFonts w:hint="eastAsia" w:ascii="宋体" w:hAnsi="宋体" w:cs="宋体"/>
          <w:color w:val="000000"/>
          <w:kern w:val="0"/>
          <w:sz w:val="24"/>
          <w:szCs w:val="24"/>
        </w:rPr>
        <w:t>质疑人提起质疑应当符合受理条件。有下列情形之一的，不予受理：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26.5.1</w:t>
      </w:r>
      <w:r>
        <w:rPr>
          <w:rFonts w:hint="eastAsia" w:ascii="宋体" w:hAnsi="宋体" w:cs="宋体"/>
          <w:color w:val="000000"/>
          <w:kern w:val="0"/>
          <w:sz w:val="24"/>
          <w:szCs w:val="24"/>
        </w:rPr>
        <w:t>提起质疑的主体不是所质疑项目投标供应商的；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26.5.2</w:t>
      </w:r>
      <w:r>
        <w:rPr>
          <w:rFonts w:hint="eastAsia" w:ascii="宋体" w:hAnsi="宋体" w:cs="宋体"/>
          <w:color w:val="000000"/>
          <w:kern w:val="0"/>
          <w:sz w:val="24"/>
          <w:szCs w:val="24"/>
        </w:rPr>
        <w:t>质疑事项不具体，且未提供有效线索，难以查证的；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26.5.3</w:t>
      </w:r>
      <w:r>
        <w:rPr>
          <w:rFonts w:hint="eastAsia" w:ascii="宋体" w:hAnsi="宋体" w:cs="宋体"/>
          <w:color w:val="000000"/>
          <w:kern w:val="0"/>
          <w:sz w:val="24"/>
          <w:szCs w:val="24"/>
        </w:rPr>
        <w:t>不符合上述第</w:t>
      </w:r>
      <w:r>
        <w:rPr>
          <w:rFonts w:ascii="宋体" w:hAnsi="宋体" w:cs="宋体"/>
          <w:color w:val="000000"/>
          <w:kern w:val="0"/>
          <w:sz w:val="24"/>
          <w:szCs w:val="24"/>
        </w:rPr>
        <w:t>26.3</w:t>
      </w:r>
      <w:r>
        <w:rPr>
          <w:rFonts w:hint="eastAsia" w:ascii="宋体" w:hAnsi="宋体" w:cs="宋体"/>
          <w:color w:val="000000"/>
          <w:kern w:val="0"/>
          <w:sz w:val="24"/>
          <w:szCs w:val="24"/>
        </w:rPr>
        <w:t>条要求的；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26.5.4</w:t>
      </w:r>
      <w:r>
        <w:rPr>
          <w:rFonts w:hint="eastAsia" w:ascii="宋体" w:hAnsi="宋体" w:cs="宋体"/>
          <w:color w:val="000000"/>
          <w:kern w:val="0"/>
          <w:sz w:val="24"/>
          <w:szCs w:val="24"/>
        </w:rPr>
        <w:t>提起质疑的时间超过规定时限的；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26.5.5</w:t>
      </w:r>
      <w:r>
        <w:rPr>
          <w:rFonts w:hint="eastAsia" w:ascii="宋体" w:hAnsi="宋体" w:cs="宋体"/>
          <w:color w:val="000000"/>
          <w:kern w:val="0"/>
          <w:sz w:val="24"/>
          <w:szCs w:val="24"/>
        </w:rPr>
        <w:t>质疑事项超出权限范围的；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26.5.6</w:t>
      </w:r>
      <w:r>
        <w:rPr>
          <w:rFonts w:hint="eastAsia" w:ascii="宋体" w:hAnsi="宋体" w:cs="宋体"/>
          <w:color w:val="000000"/>
          <w:kern w:val="0"/>
          <w:sz w:val="24"/>
          <w:szCs w:val="24"/>
        </w:rPr>
        <w:t>已经给予书面答复，且质疑人没有提出新的证据的；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26.5.7</w:t>
      </w:r>
      <w:r>
        <w:rPr>
          <w:rFonts w:hint="eastAsia" w:ascii="宋体" w:hAnsi="宋体" w:cs="宋体"/>
          <w:color w:val="000000"/>
          <w:kern w:val="0"/>
          <w:sz w:val="24"/>
          <w:szCs w:val="24"/>
        </w:rPr>
        <w:t>质疑事项已进入投诉处理、行政复议或行政诉讼程序的；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26.5.8</w:t>
      </w:r>
      <w:r>
        <w:rPr>
          <w:rFonts w:hint="eastAsia" w:ascii="宋体" w:hAnsi="宋体" w:cs="宋体"/>
          <w:color w:val="000000"/>
          <w:kern w:val="0"/>
          <w:sz w:val="24"/>
          <w:szCs w:val="24"/>
        </w:rPr>
        <w:t>不符合法律法规规定的其他条件的。</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26.6</w:t>
      </w:r>
      <w:r>
        <w:rPr>
          <w:rFonts w:hint="eastAsia" w:ascii="宋体" w:hAnsi="宋体" w:cs="宋体"/>
          <w:color w:val="000000"/>
          <w:kern w:val="0"/>
          <w:sz w:val="24"/>
          <w:szCs w:val="24"/>
        </w:rPr>
        <w:t>经审查符合质疑条件的，自收到质疑之日起即为受理。将在质疑受理后</w:t>
      </w:r>
      <w:r>
        <w:rPr>
          <w:rFonts w:ascii="宋体" w:hAnsi="宋体" w:cs="宋体"/>
          <w:color w:val="000000"/>
          <w:kern w:val="0"/>
          <w:sz w:val="24"/>
          <w:szCs w:val="24"/>
        </w:rPr>
        <w:t>7</w:t>
      </w:r>
      <w:r>
        <w:rPr>
          <w:rFonts w:hint="eastAsia" w:ascii="宋体" w:hAnsi="宋体" w:cs="宋体"/>
          <w:color w:val="000000"/>
          <w:kern w:val="0"/>
          <w:sz w:val="24"/>
          <w:szCs w:val="24"/>
        </w:rPr>
        <w:t>个工作日内作出答复或相关处理决定（需要检验、检测、鉴定、专家评审的，所需时间不计算在内），并以书面形式通知质疑人，答复的内容不得涉及商业秘密。</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26.7</w:t>
      </w:r>
      <w:r>
        <w:rPr>
          <w:rFonts w:hint="eastAsia" w:ascii="宋体" w:hAnsi="宋体" w:cs="宋体"/>
          <w:color w:val="000000"/>
          <w:kern w:val="0"/>
          <w:sz w:val="24"/>
          <w:szCs w:val="24"/>
        </w:rPr>
        <w:t>质疑人在答复期满前撤回质疑的，应由法定代表人或授权代表人签字确认，即终止质疑处理程序。质疑人不得以同一理由再次提出质疑。</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质疑人对质疑答复不满意或未在规定时间内做出答复的，可以在规定期限内向管理部门提起投诉。</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质疑人应在答复期满后十五个工作日内提起投诉。</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w:t>
      </w:r>
      <w:r>
        <w:rPr>
          <w:rFonts w:hint="eastAsia" w:ascii="宋体" w:hAnsi="宋体" w:cs="宋体"/>
          <w:color w:val="000000"/>
          <w:kern w:val="0"/>
          <w:sz w:val="24"/>
          <w:szCs w:val="24"/>
        </w:rPr>
        <w:t>合同条款</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w:t>
      </w:r>
      <w:r>
        <w:rPr>
          <w:rFonts w:hint="eastAsia" w:ascii="宋体" w:hAnsi="宋体" w:cs="宋体"/>
          <w:color w:val="000000"/>
          <w:kern w:val="0"/>
          <w:sz w:val="24"/>
          <w:szCs w:val="24"/>
        </w:rPr>
        <w:t>定义</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本合同条款中的下列术语应解释为：</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合同价：系指根据合同规定，卖方在完全履行合同义务后应支付给卖方的价款。</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货物：系指卖方根据合同规定须向买方提供的一切设备、机械、仪表、备件、工具、手册和其他技术资料及其他材料。</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服务：系指根据合同规定卖方承担与供货有关的技术支持，如安装、调试、维修、培训和其他类似的义务。</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工程施工：系指卖方根据合同规定须向买方提供的、与货物安装相关的房屋改造、装修等。</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27.2</w:t>
      </w:r>
      <w:r>
        <w:rPr>
          <w:rFonts w:hint="eastAsia" w:ascii="宋体" w:hAnsi="宋体" w:cs="宋体"/>
          <w:color w:val="000000"/>
          <w:kern w:val="0"/>
          <w:sz w:val="24"/>
          <w:szCs w:val="24"/>
        </w:rPr>
        <w:t>技术规格</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卖方提供和交付的货物技术规格、工程施工应与磋商文件规定的技术要求以及所附的技术规格响应表相一致。</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27.3</w:t>
      </w:r>
      <w:r>
        <w:rPr>
          <w:rFonts w:hint="eastAsia" w:ascii="宋体" w:hAnsi="宋体" w:cs="宋体"/>
          <w:color w:val="000000"/>
          <w:kern w:val="0"/>
          <w:sz w:val="24"/>
          <w:szCs w:val="24"/>
        </w:rPr>
        <w:t>专利权</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卖方应保证买方在使用该货物或其任何一部分时，不受第三方提出侵犯其专利权、商标权和工业设计权的起诉。</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27.4</w:t>
      </w:r>
      <w:r>
        <w:rPr>
          <w:rFonts w:hint="eastAsia" w:ascii="宋体" w:hAnsi="宋体" w:cs="宋体"/>
          <w:color w:val="000000"/>
          <w:kern w:val="0"/>
          <w:sz w:val="24"/>
          <w:szCs w:val="24"/>
        </w:rPr>
        <w:t>包装要求</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27.4.1</w:t>
      </w:r>
      <w:r>
        <w:rPr>
          <w:rFonts w:hint="eastAsia" w:ascii="宋体" w:hAnsi="宋体" w:cs="宋体"/>
          <w:color w:val="000000"/>
          <w:kern w:val="0"/>
          <w:sz w:val="24"/>
          <w:szCs w:val="24"/>
        </w:rPr>
        <w:t>除合同另有规定外，卖方供应的全部货物均应按标准保护措施进行包装。该包装应适应远距离运输、防潮、防震、防锈和防野蛮装卸，确保货物安全无损运抵现场。由于包装不善所引起的货物锈蚀、损坏和损失均由卖方承担。</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27.4.2</w:t>
      </w:r>
      <w:r>
        <w:rPr>
          <w:rFonts w:hint="eastAsia" w:ascii="宋体" w:hAnsi="宋体" w:cs="宋体"/>
          <w:color w:val="000000"/>
          <w:kern w:val="0"/>
          <w:sz w:val="24"/>
          <w:szCs w:val="24"/>
        </w:rPr>
        <w:t>每件包装箱内应附一份详细装箱单和质量合格证。</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27.5</w:t>
      </w:r>
      <w:r>
        <w:rPr>
          <w:rFonts w:hint="eastAsia" w:ascii="宋体" w:hAnsi="宋体" w:cs="宋体"/>
          <w:color w:val="000000"/>
          <w:kern w:val="0"/>
          <w:sz w:val="24"/>
          <w:szCs w:val="24"/>
        </w:rPr>
        <w:t>装运条件：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 xml:space="preserve">27.5.1 </w:t>
      </w:r>
      <w:r>
        <w:rPr>
          <w:rFonts w:hint="eastAsia" w:ascii="宋体" w:hAnsi="宋体" w:cs="宋体"/>
          <w:color w:val="000000"/>
          <w:kern w:val="0"/>
          <w:sz w:val="24"/>
          <w:szCs w:val="24"/>
        </w:rPr>
        <w:t>卖方负责安排运输，运输费由卖方承担。</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 xml:space="preserve">27.5.2 </w:t>
      </w:r>
      <w:r>
        <w:rPr>
          <w:rFonts w:hint="eastAsia" w:ascii="宋体" w:hAnsi="宋体" w:cs="宋体"/>
          <w:color w:val="000000"/>
          <w:kern w:val="0"/>
          <w:sz w:val="24"/>
          <w:szCs w:val="24"/>
        </w:rPr>
        <w:t>卖方装运的货物不应超过合同规定的数量或重量。否则，卖方应对超交数量或重量而产生的一切后果负责。</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27.6</w:t>
      </w:r>
      <w:r>
        <w:rPr>
          <w:rFonts w:hint="eastAsia" w:ascii="宋体" w:hAnsi="宋体" w:cs="宋体"/>
          <w:color w:val="000000"/>
          <w:kern w:val="0"/>
          <w:sz w:val="24"/>
          <w:szCs w:val="24"/>
        </w:rPr>
        <w:t>合同款的支付</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 xml:space="preserve">27.6.1 </w:t>
      </w:r>
      <w:r>
        <w:rPr>
          <w:rFonts w:hint="eastAsia" w:ascii="宋体" w:hAnsi="宋体" w:cs="宋体"/>
          <w:color w:val="000000"/>
          <w:kern w:val="0"/>
          <w:sz w:val="24"/>
          <w:szCs w:val="24"/>
        </w:rPr>
        <w:t>卖方应按照签订的合同规定交货。交货后卖方应向买方提供下列单据：</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rPr>
        <w:tab/>
      </w:r>
      <w:r>
        <w:rPr>
          <w:rFonts w:hint="eastAsia" w:ascii="宋体" w:hAnsi="宋体" w:cs="宋体"/>
          <w:color w:val="000000"/>
          <w:kern w:val="0"/>
          <w:sz w:val="24"/>
          <w:szCs w:val="24"/>
        </w:rPr>
        <w:t>发票原件；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rPr>
        <w:tab/>
      </w:r>
      <w:r>
        <w:rPr>
          <w:rFonts w:hint="eastAsia" w:ascii="宋体" w:hAnsi="宋体" w:cs="宋体"/>
          <w:color w:val="000000"/>
          <w:kern w:val="0"/>
          <w:sz w:val="24"/>
          <w:szCs w:val="24"/>
        </w:rPr>
        <w:t>制造厂家出具的质量检验证书和数量证明书；</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(3)</w:t>
      </w:r>
      <w:r>
        <w:rPr>
          <w:rFonts w:ascii="宋体" w:hAnsi="宋体" w:cs="宋体"/>
          <w:color w:val="000000"/>
          <w:kern w:val="0"/>
          <w:sz w:val="24"/>
          <w:szCs w:val="24"/>
        </w:rPr>
        <w:tab/>
      </w:r>
      <w:r>
        <w:rPr>
          <w:rFonts w:hint="eastAsia" w:ascii="宋体" w:hAnsi="宋体" w:cs="宋体"/>
          <w:color w:val="000000"/>
          <w:kern w:val="0"/>
          <w:sz w:val="24"/>
          <w:szCs w:val="24"/>
        </w:rPr>
        <w:t>装箱单；</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(4)</w:t>
      </w:r>
      <w:r>
        <w:rPr>
          <w:rFonts w:ascii="宋体" w:hAnsi="宋体" w:cs="宋体"/>
          <w:color w:val="000000"/>
          <w:kern w:val="0"/>
          <w:sz w:val="24"/>
          <w:szCs w:val="24"/>
        </w:rPr>
        <w:tab/>
      </w:r>
      <w:r>
        <w:rPr>
          <w:rFonts w:hint="eastAsia" w:ascii="宋体" w:hAnsi="宋体" w:cs="宋体"/>
          <w:color w:val="000000"/>
          <w:kern w:val="0"/>
          <w:sz w:val="24"/>
          <w:szCs w:val="24"/>
        </w:rPr>
        <w:t>自我检验意见等。</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27.6.2</w:t>
      </w:r>
      <w:r>
        <w:rPr>
          <w:rFonts w:hint="eastAsia" w:ascii="宋体" w:hAnsi="宋体" w:cs="宋体"/>
          <w:color w:val="000000"/>
          <w:kern w:val="0"/>
          <w:sz w:val="24"/>
          <w:szCs w:val="24"/>
        </w:rPr>
        <w:t>卖方将发票复印件，收款人、开户行、银行帐号资料和验收报告提交给买方，买方按合同规定审核后依“合同条款前附表”规定的付款条件提请安徽省财政厅审核付款。</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27.7</w:t>
      </w:r>
      <w:r>
        <w:rPr>
          <w:rFonts w:hint="eastAsia" w:ascii="宋体" w:hAnsi="宋体" w:cs="宋体"/>
          <w:color w:val="000000"/>
          <w:kern w:val="0"/>
          <w:sz w:val="24"/>
          <w:szCs w:val="24"/>
        </w:rPr>
        <w:t>技术资料</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27.7.1</w:t>
      </w:r>
      <w:r>
        <w:rPr>
          <w:rFonts w:hint="eastAsia" w:ascii="宋体" w:hAnsi="宋体" w:cs="宋体"/>
          <w:color w:val="000000"/>
          <w:kern w:val="0"/>
          <w:sz w:val="24"/>
          <w:szCs w:val="24"/>
        </w:rPr>
        <w:t>卖方应项目竣工验收结束时，向买方移交所有与项目有关的技术资料，如样本、图纸、操作手册、使用指南、应用软件开发文档、维修指南等。</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27.7.2</w:t>
      </w:r>
      <w:r>
        <w:rPr>
          <w:rFonts w:hint="eastAsia" w:ascii="宋体" w:hAnsi="宋体" w:cs="宋体"/>
          <w:color w:val="000000"/>
          <w:kern w:val="0"/>
          <w:sz w:val="24"/>
          <w:szCs w:val="24"/>
        </w:rPr>
        <w:t>如合同的标的物为进口货物，买方除必须向买方提供一套完整的原版的技术资料外，还必须向买方提供一套与原版技术资料完全一致的中文技术资料。</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27.8</w:t>
      </w:r>
      <w:r>
        <w:rPr>
          <w:rFonts w:hint="eastAsia" w:ascii="宋体" w:hAnsi="宋体" w:cs="宋体"/>
          <w:color w:val="000000"/>
          <w:kern w:val="0"/>
          <w:sz w:val="24"/>
          <w:szCs w:val="24"/>
        </w:rPr>
        <w:t>质量保证</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27.8.1</w:t>
      </w:r>
      <w:r>
        <w:rPr>
          <w:rFonts w:hint="eastAsia" w:ascii="宋体" w:hAnsi="宋体" w:cs="宋体"/>
          <w:color w:val="000000"/>
          <w:kern w:val="0"/>
          <w:sz w:val="24"/>
          <w:szCs w:val="24"/>
        </w:rPr>
        <w:t>卖方应保证货物是全新、未使用过的，并完全符合合同规定的质量、规格和性能的要求的正品。卖方应保证其货物在正确安装、使用和保养条件下，在其使用寿命内应具有满意的性能。在货物最终验收后的质量保证期内，卖方应对由于设计、工艺或材料的缺陷而发生的任何不足或故障负责，费用由卖方负担。</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27.8.2</w:t>
      </w:r>
      <w:r>
        <w:rPr>
          <w:rFonts w:hint="eastAsia" w:ascii="宋体" w:hAnsi="宋体" w:cs="宋体"/>
          <w:color w:val="000000"/>
          <w:kern w:val="0"/>
          <w:sz w:val="24"/>
          <w:szCs w:val="24"/>
        </w:rPr>
        <w:t>卖方在收到买方关于产品质量问题的通知后七天内，应免费维修更换有缺陷的货物或部件。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27.8.3</w:t>
      </w:r>
      <w:r>
        <w:rPr>
          <w:rFonts w:hint="eastAsia" w:ascii="宋体" w:hAnsi="宋体" w:cs="宋体"/>
          <w:color w:val="000000"/>
          <w:kern w:val="0"/>
          <w:sz w:val="24"/>
          <w:szCs w:val="24"/>
        </w:rPr>
        <w:t>如果卖方在收到通知七天后没有弥补缺陷，买方可采取必要的补救措施，但风险和费用将由卖方承担。</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27.9</w:t>
      </w:r>
      <w:r>
        <w:rPr>
          <w:rFonts w:hint="eastAsia" w:ascii="宋体" w:hAnsi="宋体" w:cs="宋体"/>
          <w:color w:val="000000"/>
          <w:kern w:val="0"/>
          <w:sz w:val="24"/>
          <w:szCs w:val="24"/>
        </w:rPr>
        <w:t>检验</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在发货前，卖方应对货物的质量、规格、性能、数量和重量等进行准确而全面的自我检验，并出具一份证明货物符合合同规定的自我检验报告。该报告应作为卖方向买方要求付款时提交的付款单据之一。但有关质量、规格、性能、数量或重量的检验不能视为最终检验。</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27.10</w:t>
      </w:r>
      <w:r>
        <w:rPr>
          <w:rFonts w:hint="eastAsia" w:ascii="宋体" w:hAnsi="宋体" w:cs="宋体"/>
          <w:color w:val="000000"/>
          <w:kern w:val="0"/>
          <w:sz w:val="24"/>
          <w:szCs w:val="24"/>
        </w:rPr>
        <w:t>索赔</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27.10.1</w:t>
      </w:r>
      <w:r>
        <w:rPr>
          <w:rFonts w:hint="eastAsia" w:ascii="宋体" w:hAnsi="宋体" w:cs="宋体"/>
          <w:color w:val="000000"/>
          <w:kern w:val="0"/>
          <w:sz w:val="24"/>
          <w:szCs w:val="24"/>
        </w:rPr>
        <w:t>如果货物的质量和规格与合同不符，或在质量保证期内证实其货物是有缺陷的，包括潜在缺陷或使用不符合要求的材料，买方应报请当地技术监督局或其他有关部门进行检查，并有权凭质检证书向卖方提出索赔，但应由保险公司或运输部门承担责任的除外。</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27.10.2</w:t>
      </w:r>
      <w:r>
        <w:rPr>
          <w:rFonts w:hint="eastAsia" w:ascii="宋体" w:hAnsi="宋体" w:cs="宋体"/>
          <w:color w:val="000000"/>
          <w:kern w:val="0"/>
          <w:sz w:val="24"/>
          <w:szCs w:val="24"/>
        </w:rPr>
        <w:t>在合同质量保证期内，如果卖方对质量问题负有责任，当买方提出的索赔时，卖方应按照买方同意的下列一种或多种方式解决索赔事宜：</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卖方同意退货，并将货款退还给买方，并承担由此发生的一切损失和费用，包括利息费、银行手续费、运费、保险费、检验费、仓储费、装卸费以及为保护拒收的货物所需的其它必要费用。</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B.</w:t>
      </w:r>
      <w:r>
        <w:rPr>
          <w:rFonts w:hint="eastAsia" w:ascii="宋体" w:hAnsi="宋体" w:cs="宋体"/>
          <w:color w:val="000000"/>
          <w:kern w:val="0"/>
          <w:sz w:val="24"/>
          <w:szCs w:val="24"/>
        </w:rPr>
        <w:t>根据货物的低劣和损坏的程度，以及买方所遭受损失的数额，由买卖双方协商降低货物的价格。</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C.</w:t>
      </w:r>
      <w:r>
        <w:rPr>
          <w:rFonts w:hint="eastAsia" w:ascii="宋体" w:hAnsi="宋体" w:cs="宋体"/>
          <w:color w:val="000000"/>
          <w:kern w:val="0"/>
          <w:sz w:val="24"/>
          <w:szCs w:val="24"/>
        </w:rPr>
        <w:t>卖方用符合合同规定要求的新零件、部件或设备来更换有缺陷的部分，卖方应承担一切费用和风险并负担买方所遭受的一切直接损失费用。同时，卖方应按合同条款第</w:t>
      </w:r>
      <w:r>
        <w:rPr>
          <w:rFonts w:ascii="宋体" w:hAnsi="宋体" w:cs="宋体"/>
          <w:color w:val="000000"/>
          <w:kern w:val="0"/>
          <w:sz w:val="24"/>
          <w:szCs w:val="24"/>
        </w:rPr>
        <w:t>8</w:t>
      </w:r>
      <w:r>
        <w:rPr>
          <w:rFonts w:hint="eastAsia" w:ascii="宋体" w:hAnsi="宋体" w:cs="宋体"/>
          <w:color w:val="000000"/>
          <w:kern w:val="0"/>
          <w:sz w:val="24"/>
          <w:szCs w:val="24"/>
        </w:rPr>
        <w:t>条规定，对更换件相应延长质量保证期。</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27.10.3</w:t>
      </w:r>
      <w:r>
        <w:rPr>
          <w:rFonts w:hint="eastAsia" w:ascii="宋体" w:hAnsi="宋体" w:cs="宋体"/>
          <w:color w:val="000000"/>
          <w:kern w:val="0"/>
          <w:sz w:val="24"/>
          <w:szCs w:val="24"/>
        </w:rPr>
        <w:t>买方发出索赔通知后</w:t>
      </w:r>
      <w:r>
        <w:rPr>
          <w:rFonts w:ascii="宋体" w:hAnsi="宋体" w:cs="宋体"/>
          <w:color w:val="000000"/>
          <w:kern w:val="0"/>
          <w:sz w:val="24"/>
          <w:szCs w:val="24"/>
        </w:rPr>
        <w:t>20</w:t>
      </w:r>
      <w:r>
        <w:rPr>
          <w:rFonts w:hint="eastAsia" w:ascii="宋体" w:hAnsi="宋体" w:cs="宋体"/>
          <w:color w:val="000000"/>
          <w:kern w:val="0"/>
          <w:sz w:val="24"/>
          <w:szCs w:val="24"/>
        </w:rPr>
        <w:t>天内，如果卖方未作答复，上述索赔将被视为已被卖方接受；如卖方未能在买方提出索赔通知后</w:t>
      </w:r>
      <w:r>
        <w:rPr>
          <w:rFonts w:ascii="宋体" w:hAnsi="宋体" w:cs="宋体"/>
          <w:color w:val="000000"/>
          <w:kern w:val="0"/>
          <w:sz w:val="24"/>
          <w:szCs w:val="24"/>
        </w:rPr>
        <w:t>20</w:t>
      </w:r>
      <w:r>
        <w:rPr>
          <w:rFonts w:hint="eastAsia" w:ascii="宋体" w:hAnsi="宋体" w:cs="宋体"/>
          <w:color w:val="000000"/>
          <w:kern w:val="0"/>
          <w:sz w:val="24"/>
          <w:szCs w:val="24"/>
        </w:rPr>
        <w:t>天内或买方同意的延长时间内，按照本合同条款第</w:t>
      </w:r>
      <w:r>
        <w:rPr>
          <w:rFonts w:ascii="宋体" w:hAnsi="宋体" w:cs="宋体"/>
          <w:color w:val="000000"/>
          <w:kern w:val="0"/>
          <w:sz w:val="24"/>
          <w:szCs w:val="24"/>
        </w:rPr>
        <w:t xml:space="preserve">26.10.2 </w:t>
      </w:r>
      <w:r>
        <w:rPr>
          <w:rFonts w:hint="eastAsia" w:ascii="宋体" w:hAnsi="宋体" w:cs="宋体"/>
          <w:color w:val="000000"/>
          <w:kern w:val="0"/>
          <w:sz w:val="24"/>
          <w:szCs w:val="24"/>
        </w:rPr>
        <w:t>条规定的任何一种方法解决索赔事宜，买方将通过从卖方提交的履约保证金中获得赔偿。</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27.11</w:t>
      </w:r>
      <w:r>
        <w:rPr>
          <w:rFonts w:hint="eastAsia" w:ascii="宋体" w:hAnsi="宋体" w:cs="宋体"/>
          <w:color w:val="000000"/>
          <w:kern w:val="0"/>
          <w:sz w:val="24"/>
          <w:szCs w:val="24"/>
        </w:rPr>
        <w:t>卖方误期赔偿</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27.11.1</w:t>
      </w:r>
      <w:r>
        <w:rPr>
          <w:rFonts w:hint="eastAsia" w:ascii="宋体" w:hAnsi="宋体" w:cs="宋体"/>
          <w:color w:val="000000"/>
          <w:kern w:val="0"/>
          <w:sz w:val="24"/>
          <w:szCs w:val="24"/>
        </w:rPr>
        <w:t>卖方承担的项目须严格按照其在磋商响应函中确定的完工日期完工，并经规定的各方验收合格后交付买方使用。</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27.11.2</w:t>
      </w:r>
      <w:r>
        <w:rPr>
          <w:rFonts w:hint="eastAsia" w:ascii="宋体" w:hAnsi="宋体" w:cs="宋体"/>
          <w:color w:val="000000"/>
          <w:kern w:val="0"/>
          <w:sz w:val="24"/>
          <w:szCs w:val="24"/>
        </w:rPr>
        <w:t>卖方在履行合同过程中，如果遇到不能按时交货和提供服务的情况，应及时以书面形式将不能按期履行合同的理由、延误的时间通知买方。买方在收到卖方通知后，应对情况进行分析、研究，以决定是否修改合同、酌情延长合同的履行时间，或终止合同。</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27.11.3</w:t>
      </w:r>
      <w:r>
        <w:rPr>
          <w:rFonts w:hint="eastAsia" w:ascii="宋体" w:hAnsi="宋体" w:cs="宋体"/>
          <w:color w:val="000000"/>
          <w:kern w:val="0"/>
          <w:sz w:val="24"/>
          <w:szCs w:val="24"/>
        </w:rPr>
        <w:t>除合同第</w:t>
      </w:r>
      <w:r>
        <w:rPr>
          <w:rFonts w:ascii="宋体" w:hAnsi="宋体" w:cs="宋体"/>
          <w:color w:val="000000"/>
          <w:kern w:val="0"/>
          <w:sz w:val="24"/>
          <w:szCs w:val="24"/>
        </w:rPr>
        <w:t>26.12</w:t>
      </w:r>
      <w:r>
        <w:rPr>
          <w:rFonts w:hint="eastAsia" w:ascii="宋体" w:hAnsi="宋体" w:cs="宋体"/>
          <w:color w:val="000000"/>
          <w:kern w:val="0"/>
          <w:sz w:val="24"/>
          <w:szCs w:val="24"/>
        </w:rPr>
        <w:t>条规定外，如果卖方由于自身的原因未能按期履行完合同，买方可从应支付给卖方未履行完的合同款项中获得经济上的赔偿。其标准为按每延期一周收取</w:t>
      </w:r>
      <w:r>
        <w:rPr>
          <w:rFonts w:ascii="宋体" w:hAnsi="宋体" w:cs="宋体"/>
          <w:color w:val="000000"/>
          <w:kern w:val="0"/>
          <w:sz w:val="24"/>
          <w:szCs w:val="24"/>
        </w:rPr>
        <w:t>0.5%</w:t>
      </w:r>
      <w:r>
        <w:rPr>
          <w:rFonts w:hint="eastAsia" w:ascii="宋体" w:hAnsi="宋体" w:cs="宋体"/>
          <w:color w:val="000000"/>
          <w:kern w:val="0"/>
          <w:sz w:val="24"/>
          <w:szCs w:val="24"/>
        </w:rPr>
        <w:t>，但误期赔偿费总额不得超过未履行完合同额的</w:t>
      </w:r>
      <w:r>
        <w:rPr>
          <w:rFonts w:ascii="宋体" w:hAnsi="宋体" w:cs="宋体"/>
          <w:color w:val="000000"/>
          <w:kern w:val="0"/>
          <w:sz w:val="24"/>
          <w:szCs w:val="24"/>
        </w:rPr>
        <w:t>5%</w:t>
      </w:r>
      <w:r>
        <w:rPr>
          <w:rFonts w:hint="eastAsia" w:ascii="宋体" w:hAnsi="宋体" w:cs="宋体"/>
          <w:color w:val="000000"/>
          <w:kern w:val="0"/>
          <w:sz w:val="24"/>
          <w:szCs w:val="24"/>
        </w:rPr>
        <w:t>。一周按</w:t>
      </w:r>
      <w:r>
        <w:rPr>
          <w:rFonts w:ascii="宋体" w:hAnsi="宋体" w:cs="宋体"/>
          <w:color w:val="000000"/>
          <w:kern w:val="0"/>
          <w:sz w:val="24"/>
          <w:szCs w:val="24"/>
        </w:rPr>
        <w:t>7</w:t>
      </w:r>
      <w:r>
        <w:rPr>
          <w:rFonts w:hint="eastAsia" w:ascii="宋体" w:hAnsi="宋体" w:cs="宋体"/>
          <w:color w:val="000000"/>
          <w:kern w:val="0"/>
          <w:sz w:val="24"/>
          <w:szCs w:val="24"/>
        </w:rPr>
        <w:t>天计算，不足</w:t>
      </w:r>
      <w:r>
        <w:rPr>
          <w:rFonts w:ascii="宋体" w:hAnsi="宋体" w:cs="宋体"/>
          <w:color w:val="000000"/>
          <w:kern w:val="0"/>
          <w:sz w:val="24"/>
          <w:szCs w:val="24"/>
        </w:rPr>
        <w:t>7</w:t>
      </w:r>
      <w:r>
        <w:rPr>
          <w:rFonts w:hint="eastAsia" w:ascii="宋体" w:hAnsi="宋体" w:cs="宋体"/>
          <w:color w:val="000000"/>
          <w:kern w:val="0"/>
          <w:sz w:val="24"/>
          <w:szCs w:val="24"/>
        </w:rPr>
        <w:t>天按一周计算。如果达到最高限额，买方可考虑终止合同。在此情况下，卖方不得要求买方退还其履约保证金。</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27.12</w:t>
      </w:r>
      <w:r>
        <w:rPr>
          <w:rFonts w:hint="eastAsia" w:ascii="宋体" w:hAnsi="宋体" w:cs="宋体"/>
          <w:color w:val="000000"/>
          <w:kern w:val="0"/>
          <w:sz w:val="24"/>
          <w:szCs w:val="24"/>
        </w:rPr>
        <w:t>不可抗力</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如果双方中任何一方由于战争、地震、洪涝、火灾等不能预见、不能避免的，且不能克服的不可抗力事件影响合同履行时，履行合同的期限应予以延长，延长的期限应相当于事故所影响的时间；如不可抗力事件导致整个全部或部分合同无法履行时，受事件影响的一方可部分或全部免除责任。</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27.13</w:t>
      </w:r>
      <w:r>
        <w:rPr>
          <w:rFonts w:hint="eastAsia" w:ascii="宋体" w:hAnsi="宋体" w:cs="宋体"/>
          <w:color w:val="000000"/>
          <w:kern w:val="0"/>
          <w:sz w:val="24"/>
          <w:szCs w:val="24"/>
        </w:rPr>
        <w:t>税费</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卖方的磋商报价中应包含国家规定的应缴纳的所有税费。</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27.14</w:t>
      </w:r>
      <w:r>
        <w:rPr>
          <w:rFonts w:hint="eastAsia" w:ascii="宋体" w:hAnsi="宋体" w:cs="宋体"/>
          <w:color w:val="000000"/>
          <w:kern w:val="0"/>
          <w:sz w:val="24"/>
          <w:szCs w:val="24"/>
        </w:rPr>
        <w:t>履约保证金</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27.14.1</w:t>
      </w:r>
      <w:r>
        <w:rPr>
          <w:rFonts w:hint="eastAsia" w:ascii="宋体" w:hAnsi="宋体" w:cs="宋体"/>
          <w:color w:val="000000"/>
          <w:kern w:val="0"/>
          <w:sz w:val="24"/>
          <w:szCs w:val="24"/>
        </w:rPr>
        <w:t>卖方应在收到成交结果通知书后按照“投标供应商须知前附表”中规定比例的缴纳履约保证金。原则上履约保证金期限为一年，若卖方承诺货物质保期限超过生产厂家或总经销机构承诺期限，则质保期满后，方可退还保证金，但投标供应商履约保证金期限不得低于国家或行业的规定。</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27.14.2</w:t>
      </w:r>
      <w:r>
        <w:rPr>
          <w:rFonts w:hint="eastAsia" w:ascii="宋体" w:hAnsi="宋体" w:cs="宋体"/>
          <w:color w:val="000000"/>
          <w:kern w:val="0"/>
          <w:sz w:val="24"/>
          <w:szCs w:val="24"/>
        </w:rPr>
        <w:t>卖方提供的履约保证金应按本磋商文件中规定的方式进行提供，与此有关的费用由卖方负担。</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27.14.3</w:t>
      </w:r>
      <w:r>
        <w:rPr>
          <w:rFonts w:hint="eastAsia" w:ascii="宋体" w:hAnsi="宋体" w:cs="宋体"/>
          <w:color w:val="000000"/>
          <w:kern w:val="0"/>
          <w:sz w:val="24"/>
          <w:szCs w:val="24"/>
        </w:rPr>
        <w:t>如卖方经证实确实未能履行其合同规定的义务，买方有权要求从履约保证金中取得补偿。</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27.15</w:t>
      </w:r>
      <w:r>
        <w:rPr>
          <w:rFonts w:hint="eastAsia" w:ascii="宋体" w:hAnsi="宋体" w:cs="宋体"/>
          <w:color w:val="000000"/>
          <w:kern w:val="0"/>
          <w:sz w:val="24"/>
          <w:szCs w:val="24"/>
        </w:rPr>
        <w:t>买方的责任</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27.15.1</w:t>
      </w:r>
      <w:r>
        <w:rPr>
          <w:rFonts w:hint="eastAsia" w:ascii="宋体" w:hAnsi="宋体" w:cs="宋体"/>
          <w:color w:val="000000"/>
          <w:kern w:val="0"/>
          <w:sz w:val="24"/>
          <w:szCs w:val="24"/>
        </w:rPr>
        <w:t>在合同实施期间，买方应指派专人配合卖方工作，并为卖方履行合同提供必要的场地、资料、人员上的帮助。如因买方的原因致使合同无法如期履行，买方须对因此造成的后果负责；给卖方造成损失的，卖方有权要求从买方获得赔偿。</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27.15.2</w:t>
      </w:r>
      <w:r>
        <w:rPr>
          <w:rFonts w:hint="eastAsia" w:ascii="宋体" w:hAnsi="宋体" w:cs="宋体"/>
          <w:color w:val="000000"/>
          <w:kern w:val="0"/>
          <w:sz w:val="24"/>
          <w:szCs w:val="24"/>
        </w:rPr>
        <w:t>买方不得强迫卖方接受合同以外的无理要求。在此情况下，卖方可以拒绝买方的此类要求而不被视为违约</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27.15.3</w:t>
      </w:r>
      <w:r>
        <w:rPr>
          <w:rFonts w:hint="eastAsia" w:ascii="宋体" w:hAnsi="宋体" w:cs="宋体"/>
          <w:color w:val="000000"/>
          <w:kern w:val="0"/>
          <w:sz w:val="24"/>
          <w:szCs w:val="24"/>
        </w:rPr>
        <w:t>在合同实施期间，买卖双方可在政府采购监督管理部门的参与下就合同的未尽事宜签订补充协议，但不得签订背离原合同实质内容的协议；合同履行期间的重大问题，买卖双方应及时向监督管理部门通报。</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27.15.4</w:t>
      </w:r>
      <w:r>
        <w:rPr>
          <w:rFonts w:hint="eastAsia" w:ascii="宋体" w:hAnsi="宋体" w:cs="宋体"/>
          <w:color w:val="000000"/>
          <w:kern w:val="0"/>
          <w:sz w:val="24"/>
          <w:szCs w:val="24"/>
        </w:rPr>
        <w:t>在由买方直接支付货款的情况下，当卖方忠实地履行了合同，向买方提交了付款所必须的凭证和相关文件并经买方审查合格后，买方应按合同条款前附表中规定的条件付款，不得无故拖延。</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27.16</w:t>
      </w:r>
      <w:r>
        <w:rPr>
          <w:rFonts w:hint="eastAsia" w:ascii="宋体" w:hAnsi="宋体" w:cs="宋体"/>
          <w:color w:val="000000"/>
          <w:kern w:val="0"/>
          <w:sz w:val="24"/>
          <w:szCs w:val="24"/>
        </w:rPr>
        <w:t>合同生效及其它</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27.16.1</w:t>
      </w:r>
      <w:r>
        <w:rPr>
          <w:rFonts w:hint="eastAsia" w:ascii="宋体" w:hAnsi="宋体" w:cs="宋体"/>
          <w:color w:val="000000"/>
          <w:kern w:val="0"/>
          <w:sz w:val="24"/>
          <w:szCs w:val="24"/>
        </w:rPr>
        <w:t>本合同一式陆份，买方、卖方各执贰份，见证方保留壹份，送出资方留存壹份。</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27.16.2</w:t>
      </w:r>
      <w:r>
        <w:rPr>
          <w:rFonts w:hint="eastAsia" w:ascii="宋体" w:hAnsi="宋体" w:cs="宋体"/>
          <w:color w:val="000000"/>
          <w:kern w:val="0"/>
          <w:sz w:val="24"/>
          <w:szCs w:val="24"/>
        </w:rPr>
        <w:t>合同应在买卖双方签字、盖章见证，并在收到卖方提交的履约保证金后即开始生效。</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27.17</w:t>
      </w:r>
      <w:r>
        <w:rPr>
          <w:rFonts w:hint="eastAsia" w:ascii="宋体" w:hAnsi="宋体" w:cs="宋体"/>
          <w:color w:val="000000"/>
          <w:kern w:val="0"/>
          <w:sz w:val="24"/>
          <w:szCs w:val="24"/>
        </w:rPr>
        <w:t>本合同条款未尽事宜</w:t>
      </w:r>
    </w:p>
    <w:p>
      <w:pPr>
        <w:widowControl/>
        <w:shd w:val="clear" w:color="auto" w:fill="FFFFFF"/>
        <w:ind w:firstLine="643"/>
        <w:rPr>
          <w:rFonts w:ascii="宋体" w:hAnsi="宋体" w:cs="宋体"/>
          <w:color w:val="000000"/>
          <w:kern w:val="0"/>
          <w:sz w:val="24"/>
          <w:szCs w:val="24"/>
        </w:rPr>
      </w:pPr>
      <w:r>
        <w:rPr>
          <w:rFonts w:hint="eastAsia" w:ascii="宋体" w:hAnsi="宋体" w:cs="宋体"/>
          <w:color w:val="000000"/>
          <w:kern w:val="0"/>
          <w:sz w:val="24"/>
          <w:szCs w:val="24"/>
        </w:rPr>
        <w:t>如本合同条款不能满足项目的需要，其特殊条款见“合同特殊条款”。</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28.</w:t>
      </w:r>
      <w:r>
        <w:rPr>
          <w:rFonts w:hint="eastAsia" w:ascii="宋体" w:hAnsi="宋体" w:cs="宋体"/>
          <w:color w:val="000000"/>
          <w:kern w:val="0"/>
          <w:sz w:val="24"/>
          <w:szCs w:val="24"/>
        </w:rPr>
        <w:t>其他</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28.1</w:t>
      </w:r>
      <w:r>
        <w:rPr>
          <w:rFonts w:hint="eastAsia" w:ascii="宋体" w:hAnsi="宋体" w:cs="宋体"/>
          <w:color w:val="000000"/>
          <w:kern w:val="0"/>
          <w:sz w:val="24"/>
          <w:szCs w:val="24"/>
        </w:rPr>
        <w:t>无论基于何种原因，各项本应作拒绝处理的情形即便未被及时发现而使该投标供应商进入初审、详细评审或其它后续程序，包括已经签约的情形，一旦在任何时间被发现，均有权决定是否取消该投标供应商此前评议的结果或是否对该报价予以拒绝，并有权采取相应的补救或纠正措施。一旦该投标供应商被拒绝或被取消此前评议结果，其现有的位置将被其他投标供应商依序替代或重新组织采购，相关的一切损失均由该投标供应商自行承担。</w:t>
      </w:r>
    </w:p>
    <w:p>
      <w:pPr>
        <w:widowControl/>
        <w:shd w:val="clear" w:color="auto" w:fill="FFFFFF"/>
        <w:ind w:firstLine="643"/>
        <w:rPr>
          <w:rFonts w:ascii="宋体" w:hAnsi="宋体" w:cs="宋体"/>
          <w:color w:val="000000"/>
          <w:kern w:val="0"/>
          <w:sz w:val="24"/>
          <w:szCs w:val="24"/>
        </w:rPr>
      </w:pPr>
      <w:r>
        <w:rPr>
          <w:rFonts w:ascii="宋体" w:hAnsi="宋体" w:cs="宋体"/>
          <w:color w:val="000000"/>
          <w:kern w:val="0"/>
          <w:sz w:val="24"/>
          <w:szCs w:val="24"/>
        </w:rPr>
        <w:t>28.2</w:t>
      </w:r>
      <w:r>
        <w:rPr>
          <w:rFonts w:hint="eastAsia" w:ascii="宋体" w:hAnsi="宋体" w:cs="宋体"/>
          <w:color w:val="000000"/>
          <w:kern w:val="0"/>
          <w:sz w:val="24"/>
          <w:szCs w:val="24"/>
        </w:rPr>
        <w:t>本磋商文件的最终解释权归</w:t>
      </w:r>
      <w:r>
        <w:rPr>
          <w:rFonts w:hint="eastAsia" w:ascii="宋体" w:hAnsi="宋体" w:cs="宋体"/>
          <w:color w:val="000000"/>
          <w:kern w:val="0"/>
          <w:sz w:val="24"/>
          <w:szCs w:val="24"/>
          <w:lang w:eastAsia="zh-CN"/>
        </w:rPr>
        <w:t>芜湖市急救中心</w:t>
      </w:r>
      <w:r>
        <w:rPr>
          <w:rFonts w:hint="eastAsia" w:ascii="宋体" w:hAnsi="宋体" w:cs="宋体"/>
          <w:color w:val="000000"/>
          <w:kern w:val="0"/>
          <w:sz w:val="24"/>
          <w:szCs w:val="24"/>
        </w:rPr>
        <w:t>和安徽鼎信项目管理股份有限公司。</w:t>
      </w:r>
    </w:p>
    <w:p>
      <w:pPr>
        <w:widowControl/>
        <w:shd w:val="clear" w:color="auto" w:fill="FFFFFF"/>
        <w:spacing w:line="560" w:lineRule="exact"/>
        <w:ind w:firstLine="643"/>
        <w:rPr>
          <w:rFonts w:ascii="宋体" w:hAnsi="宋体" w:cs="宋体"/>
          <w:color w:val="000000"/>
          <w:kern w:val="0"/>
          <w:sz w:val="24"/>
          <w:szCs w:val="24"/>
        </w:rPr>
      </w:pPr>
    </w:p>
    <w:p>
      <w:pPr>
        <w:widowControl/>
        <w:shd w:val="clear" w:color="auto" w:fill="FFFFFF"/>
        <w:spacing w:line="560" w:lineRule="exact"/>
        <w:ind w:firstLine="643"/>
        <w:rPr>
          <w:rFonts w:ascii="宋体" w:hAnsi="宋体" w:cs="宋体"/>
          <w:color w:val="000000"/>
          <w:kern w:val="0"/>
          <w:sz w:val="24"/>
          <w:szCs w:val="24"/>
        </w:rPr>
      </w:pPr>
    </w:p>
    <w:p>
      <w:pPr>
        <w:widowControl/>
        <w:shd w:val="clear" w:color="auto" w:fill="FFFFFF"/>
        <w:spacing w:line="560" w:lineRule="exact"/>
        <w:ind w:firstLine="643"/>
        <w:rPr>
          <w:rFonts w:ascii="宋体" w:hAnsi="宋体" w:cs="宋体"/>
          <w:color w:val="000000"/>
          <w:kern w:val="0"/>
          <w:sz w:val="24"/>
          <w:szCs w:val="24"/>
        </w:rPr>
      </w:pPr>
    </w:p>
    <w:p>
      <w:pPr>
        <w:widowControl/>
        <w:shd w:val="clear" w:color="auto" w:fill="FFFFFF"/>
        <w:spacing w:line="560" w:lineRule="exact"/>
        <w:ind w:firstLine="643"/>
        <w:rPr>
          <w:rFonts w:ascii="宋体" w:hAnsi="宋体" w:cs="宋体"/>
          <w:color w:val="000000"/>
          <w:kern w:val="0"/>
          <w:sz w:val="24"/>
          <w:szCs w:val="24"/>
        </w:rPr>
      </w:pPr>
    </w:p>
    <w:p>
      <w:pPr>
        <w:widowControl/>
        <w:shd w:val="clear" w:color="auto" w:fill="FFFFFF"/>
        <w:spacing w:line="560" w:lineRule="exact"/>
        <w:ind w:firstLine="643"/>
        <w:rPr>
          <w:rFonts w:ascii="宋体" w:hAnsi="宋体" w:cs="宋体"/>
          <w:color w:val="000000"/>
          <w:kern w:val="0"/>
          <w:sz w:val="24"/>
          <w:szCs w:val="24"/>
        </w:rPr>
      </w:pPr>
    </w:p>
    <w:p>
      <w:pPr>
        <w:widowControl/>
        <w:shd w:val="clear" w:color="auto" w:fill="FFFFFF"/>
        <w:spacing w:line="560" w:lineRule="exact"/>
        <w:ind w:firstLine="643"/>
        <w:rPr>
          <w:rFonts w:ascii="宋体" w:hAnsi="宋体" w:cs="宋体"/>
          <w:color w:val="000000"/>
          <w:kern w:val="0"/>
          <w:sz w:val="24"/>
          <w:szCs w:val="24"/>
        </w:rPr>
      </w:pPr>
    </w:p>
    <w:p>
      <w:pPr>
        <w:pStyle w:val="23"/>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pStyle w:val="6"/>
        <w:rPr>
          <w:rFonts w:ascii="宋体" w:hAnsi="宋体" w:cs="宋体"/>
          <w:color w:val="000000"/>
          <w:kern w:val="0"/>
          <w:sz w:val="24"/>
          <w:szCs w:val="24"/>
        </w:rPr>
      </w:pPr>
    </w:p>
    <w:p>
      <w:pPr>
        <w:widowControl/>
        <w:jc w:val="center"/>
        <w:outlineLvl w:val="0"/>
        <w:rPr>
          <w:rFonts w:ascii="宋体" w:hAnsi="宋体" w:cs="宋体"/>
          <w:b/>
          <w:bCs/>
          <w:sz w:val="28"/>
          <w:szCs w:val="28"/>
        </w:rPr>
      </w:pPr>
      <w:r>
        <w:rPr>
          <w:rFonts w:hint="eastAsia" w:ascii="宋体" w:hAnsi="宋体" w:cs="宋体"/>
          <w:b/>
          <w:bCs/>
          <w:sz w:val="28"/>
          <w:szCs w:val="28"/>
        </w:rPr>
        <w:t>三、</w:t>
      </w:r>
      <w:bookmarkStart w:id="4" w:name="_GoBack"/>
      <w:bookmarkStart w:id="3" w:name="_Hlk57013169"/>
      <w:r>
        <w:rPr>
          <w:rFonts w:hint="eastAsia" w:ascii="宋体" w:hAnsi="宋体" w:cs="宋体"/>
          <w:b/>
          <w:bCs/>
          <w:sz w:val="28"/>
          <w:szCs w:val="28"/>
        </w:rPr>
        <w:t>采购需求</w:t>
      </w:r>
    </w:p>
    <w:bookmarkEnd w:id="3"/>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要求监理单位在承建单位进入工程实施后，负责建立良好的协调和沟通机制，以及必要的工作制度，加强建设方与工程承建单位之间的多方沟通，使承建单位能够更全面、准确的了解建设方的实际需求。同时，建设方也能够及时了解项目的进展情况，使建设方、承建单位和监理方形成良好的合作协调机制，形成合力，高质高效完成项目建设。</w:t>
      </w:r>
    </w:p>
    <w:p>
      <w:pPr>
        <w:pStyle w:val="5"/>
        <w:spacing w:before="1" w:line="400" w:lineRule="exact"/>
        <w:rPr>
          <w:rFonts w:hint="eastAsia" w:ascii="宋体" w:hAnsi="宋体" w:eastAsia="宋体" w:cs="宋体"/>
          <w:b w:val="0"/>
          <w:bCs w:val="0"/>
        </w:rPr>
      </w:pPr>
      <w:r>
        <w:rPr>
          <w:rFonts w:hint="eastAsia" w:ascii="宋体" w:hAnsi="宋体" w:eastAsia="宋体" w:cs="宋体"/>
          <w:b w:val="0"/>
          <w:bCs w:val="0"/>
        </w:rPr>
        <w:t>项目建设的全过程有一套明确、合理、可行的标准、规程和检验方式，以及相应的监管办法。保证项目的关键技术指标在项目实施过程中处于受控状态，及早预测可能影响实施计划的各种因素，及时预防和纠正可能影响系统功能和性能所出现的问题。确保项目保质、按期和在合理的资金预算范围内进行实施建设。对工程质量水平进行综合评定。提交建设方所需要的工程质量技术文档，包括监理日报、周报、月报、测试文档、测试报告和竣工报告等。</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为了更好的做好本项目，设计的好坏是先决条件，则项目建设设计的目标是采用现代化综合技术、达到先进、可靠、操作简便、功能扩展性强、能方便地与计算机网络联网；系统综合功能要求以达到硬件设备共用、软件资源共享；使投资省，性价比高；从而达到项目控制的目标。</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项目监理工作要求</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1、项目概况及技术参数</w:t>
      </w:r>
    </w:p>
    <w:p>
      <w:pPr>
        <w:pStyle w:val="5"/>
        <w:spacing w:before="1" w:line="400" w:lineRule="exact"/>
        <w:rPr>
          <w:rFonts w:hint="eastAsia" w:ascii="宋体" w:hAnsi="宋体" w:eastAsia="宋体" w:cs="宋体"/>
          <w:b w:val="0"/>
          <w:bCs w:val="0"/>
        </w:rPr>
      </w:pPr>
      <w:r>
        <w:rPr>
          <w:rFonts w:hint="eastAsia" w:ascii="宋体" w:hAnsi="宋体" w:eastAsia="宋体" w:cs="宋体"/>
          <w:b w:val="0"/>
          <w:bCs w:val="0"/>
        </w:rPr>
        <w:t xml:space="preserve">监理服务范围：监理过程覆盖项目的实施、验收等所有阶段。 </w:t>
      </w:r>
    </w:p>
    <w:p>
      <w:pPr>
        <w:pStyle w:val="5"/>
        <w:spacing w:before="1" w:line="400" w:lineRule="exact"/>
        <w:rPr>
          <w:rFonts w:hint="eastAsia" w:ascii="宋体" w:hAnsi="宋体" w:eastAsia="宋体" w:cs="宋体"/>
          <w:b w:val="0"/>
          <w:bCs w:val="0"/>
        </w:rPr>
      </w:pPr>
      <w:r>
        <w:rPr>
          <w:rFonts w:hint="eastAsia" w:ascii="宋体" w:hAnsi="宋体" w:eastAsia="宋体" w:cs="宋体"/>
          <w:b w:val="0"/>
          <w:bCs w:val="0"/>
        </w:rPr>
        <w:t xml:space="preserve">监理服务要求:按照相关国家标准，对项目实施全过程进行监理，监理工作内容包括质量控制、进度控制、投资控制、变更控制、合同管理、信息管理和组织协调等，包括但不限于以下内容： </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1.1项目质量控制</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1、根据各子项目的特点，制定包括验收标准，验收方法和质量控制措施在内的详细监理控制方案；</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2、协助采购方选择承建方，审查承建方单位及人员资质；</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3、控制计划变更，编制重大质量问题的处理预案，包括系统建设过程中可能出现的重大质量问题的处理预案；</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4、组织系统建设项目质量事故的原因调查、问题分析、问题评估、事故处理；</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5、组织系统建设质量检查和验收；</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6、督促承建单位整改存在问题；</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7、参与项目竣工验收和交接。</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8、系统集成质量的控制：系统集成方案的审核和确认；对采购的硬件设备的质量进行检验和验收；对设备安装、系统软件的安装调试进行监督、检查和验收；参与对系统集成的总体验收。</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9、系统质量保证检测：本系统根据需要进行测试的，应委托专业机构完成，检验是否满足系统设计指标及合同规定的要求，并出具具有法律效力的测试报告。</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10、系统安全质量控制：负责系统安全方案的审核和确认；对安全系统的采购、安装、调试、配置过程的监督；</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11、培训的质量控制：审核确认承建商的培训计划；监督承建商实施其培训计划，并征求用户的反馈意见；审核确认承建商的培训总结报告。</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1.2项目进度控制</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1、协助采购方确定合理的工期进度；</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2、审查各子项目的系统建设设计方案、招标文件的进度计划，监督计划的执行；</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3、采用先进的项目管理工具，确定各子项目建设安装的工序顺序，控制项目施工进度；</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4、发现系统建设进程未能按计划进行时，要求承建单位调整或修改计划，采取必要措施加快采购进度，以使实际施工进度符合合同的要求；</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5、当系统建设进度拖后可能导致合同工期严重延误时，有责任作详细报告分析原因和提出对策，供业主采取措施或做出决定。</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1.3项目投资控制</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1、协助业主单位将付款进度与项目质量和形象的进度结合起来；动态管理跟踪项目建设成本，进行成本、费用控制和分析；严格控制和审查项目变更，核算成本和变化量；</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2、协助违约及索赔核查；</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3、负责项目决算初审工作，并及时将审核结果上报采购人。审核项目量清单及造价和项目竣工结算等。</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1.4项目变更控制</w:t>
      </w:r>
    </w:p>
    <w:p>
      <w:pPr>
        <w:pStyle w:val="5"/>
        <w:spacing w:before="1" w:line="400" w:lineRule="exact"/>
        <w:rPr>
          <w:rFonts w:hint="eastAsia" w:ascii="宋体" w:hAnsi="宋体" w:eastAsia="宋体" w:cs="宋体"/>
          <w:b w:val="0"/>
          <w:bCs w:val="0"/>
        </w:rPr>
      </w:pPr>
      <w:r>
        <w:rPr>
          <w:rFonts w:hint="eastAsia" w:ascii="宋体" w:hAnsi="宋体" w:eastAsia="宋体" w:cs="宋体"/>
          <w:b w:val="0"/>
          <w:bCs w:val="0"/>
        </w:rPr>
        <w:t>根据项目变更流程，合理组织项目变更；</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1.5项目合同管理</w:t>
      </w:r>
      <w:r>
        <w:rPr>
          <w:rFonts w:hint="eastAsia" w:ascii="宋体" w:hAnsi="宋体" w:eastAsia="宋体" w:cs="宋体"/>
          <w:b w:val="0"/>
          <w:bCs w:val="0"/>
        </w:rPr>
        <w:tab/>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1、协助业主与承建单位进行合同谈判、签订合同；</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2、监督检查承建单位履行合同；</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3、协助业主处理建设项目实施的每个过程出现的违约、索赔、延期、分包、纠纷调解及仲裁等问题；</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4、跟踪检查合同的执行情况，确保承建商按时履约；</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5、对合同工期的延误和延期进行审核确认；</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6、对项目暂停，复工等事宜进行审核确认；</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7、对合同变更、索赔、违约等事宜进行审核确认；</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8、根据合同约定，审核承建商提交的支付申请；</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9、建立变更控制系统；对项目变更控制，明确界定项目变更的目标，防止变更范围的扩大化，加强变更风险以及变更效果的评估；</w:t>
      </w:r>
    </w:p>
    <w:p>
      <w:pPr>
        <w:pStyle w:val="5"/>
        <w:spacing w:before="1" w:line="400" w:lineRule="exact"/>
        <w:rPr>
          <w:rFonts w:hint="eastAsia" w:ascii="宋体" w:hAnsi="宋体" w:eastAsia="宋体" w:cs="宋体"/>
          <w:b w:val="0"/>
          <w:bCs w:val="0"/>
        </w:rPr>
      </w:pPr>
      <w:r>
        <w:rPr>
          <w:rFonts w:hint="eastAsia" w:ascii="宋体" w:hAnsi="宋体" w:eastAsia="宋体" w:cs="宋体"/>
          <w:b w:val="0"/>
          <w:bCs w:val="0"/>
        </w:rPr>
        <w:t>任何变更都要得到三方（采购人、监理单位和承建单位）的书面确认。</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1.6信息管理</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1、及时向业主提交反映项目动态和监理工作情况的项目文档；</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2、建立全面、准确反映项目各阶段状况的图表、文档，收集、管理项目各类文档和资料；</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3、督促、检查施工方及时完成各阶段设备资料、项目技术资料的整理和归档工作，监理要确认各类资料必须符合国家规范格式；</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4、转发业主发出的一切指示、通知和业务联系单；</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5、当系统建设出现质量问题或严重偏离计划时，应及时向业主报告，并提出对策建议，同时督促承建单位尽快采取措施；</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7、根据业主要求提出相应的项目文档管理规范；</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8、做好合同批复等各类往来文件的批复与存档；</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9、做好项目协调会、技术专题会的会议纪要；</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10、管理好实施期间的各类技术文档；</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1.7项目安全的管理</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1、审核监测项目建设的有关安全保密项目技术方案；</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2、负责项目建设施工过程中安全控制，防止出现安全事故；</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3、检查督促承建单位建立、完善安全生产制度；</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4、组织项目安全事故的调查与处理；</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5、确立项目安全监督的工作目标。</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1.8项目的协调和组织</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1、确定承建单位的工作范围和职责；建立畅通的沟通平台和沟通渠道，采取有效措施使项目信息在有关各方之间保持顺畅流通，积极协调项目各方之间的关系，推动项目实施过程中问题的解决。</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2、接受委托，负责协调项目所涉及的各单位之间的工作关系，并协调解决项目建设过程中的各类纠纷；监督各方履行职责，协调各方的工作关系；</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3、通过必要的会议制度实施协调工作。</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1.9监理工作要求</w:t>
      </w:r>
    </w:p>
    <w:p>
      <w:pPr>
        <w:pStyle w:val="5"/>
        <w:spacing w:before="1" w:line="400" w:lineRule="exact"/>
        <w:rPr>
          <w:rFonts w:hint="eastAsia" w:ascii="宋体" w:hAnsi="宋体" w:eastAsia="宋体" w:cs="宋体"/>
          <w:b w:val="0"/>
          <w:bCs w:val="0"/>
        </w:rPr>
      </w:pPr>
      <w:r>
        <w:rPr>
          <w:rFonts w:hint="eastAsia" w:ascii="宋体" w:hAnsi="宋体" w:eastAsia="宋体" w:cs="宋体"/>
          <w:b w:val="0"/>
          <w:bCs w:val="0"/>
        </w:rPr>
        <w:t>遵照国家有关信息化监理项目规范，以“守法、诚信、公正、科学”的准则执业，维护建设方与承建方的合法权益。具体应做到：</w:t>
      </w:r>
    </w:p>
    <w:p>
      <w:pPr>
        <w:pStyle w:val="5"/>
        <w:spacing w:before="1" w:line="400" w:lineRule="exact"/>
        <w:ind w:firstLine="480" w:firstLineChars="200"/>
        <w:rPr>
          <w:rFonts w:hint="eastAsia" w:ascii="宋体" w:hAnsi="宋体" w:eastAsia="宋体" w:cs="宋体"/>
          <w:b w:val="0"/>
          <w:bCs w:val="0"/>
        </w:rPr>
      </w:pPr>
      <w:r>
        <w:rPr>
          <w:rFonts w:hint="eastAsia" w:ascii="宋体" w:hAnsi="宋体" w:eastAsia="宋体" w:cs="宋体"/>
          <w:b w:val="0"/>
          <w:bCs w:val="0"/>
        </w:rPr>
        <w:t>1、监理工作质量要求：监理单位应该在质量控制、进度控制、知识产权控制、安全控制、信息管理、合同管理等几个方面对所监理项目采取必要和完善的监督、控制和管理，保证监理项目能够按时、按质、按量竣工。</w:t>
      </w:r>
    </w:p>
    <w:p>
      <w:pPr>
        <w:pStyle w:val="5"/>
        <w:spacing w:before="1" w:line="400" w:lineRule="exact"/>
        <w:rPr>
          <w:rFonts w:hint="eastAsia" w:ascii="宋体" w:hAnsi="宋体" w:eastAsia="宋体" w:cs="宋体"/>
          <w:b w:val="0"/>
          <w:bCs w:val="0"/>
        </w:rPr>
      </w:pPr>
      <w:r>
        <w:rPr>
          <w:rFonts w:hint="eastAsia" w:ascii="宋体" w:hAnsi="宋体" w:eastAsia="宋体" w:cs="宋体"/>
          <w:b w:val="0"/>
          <w:bCs w:val="0"/>
        </w:rPr>
        <w:t>同时，监理单位应建立合理的自我质量控制体系，有质量保证体系，确保监理单位自身的有效组织和管理。</w:t>
      </w:r>
    </w:p>
    <w:p>
      <w:pPr>
        <w:pStyle w:val="5"/>
        <w:spacing w:before="1" w:line="400" w:lineRule="exact"/>
        <w:rPr>
          <w:rFonts w:hint="eastAsia" w:ascii="宋体" w:hAnsi="宋体" w:eastAsia="宋体" w:cs="宋体"/>
          <w:sz w:val="24"/>
          <w:szCs w:val="24"/>
        </w:rPr>
      </w:pPr>
      <w:r>
        <w:rPr>
          <w:rFonts w:hint="eastAsia" w:ascii="宋体" w:hAnsi="宋体" w:eastAsia="宋体" w:cs="宋体"/>
          <w:sz w:val="24"/>
          <w:szCs w:val="24"/>
        </w:rPr>
        <w:t>人员基本要求一览表（以下项目监理部人员为最基本配置）</w:t>
      </w:r>
    </w:p>
    <w:p>
      <w:pPr>
        <w:pStyle w:val="10"/>
        <w:spacing w:before="6" w:line="400" w:lineRule="exact"/>
        <w:rPr>
          <w:rFonts w:hint="eastAsia" w:ascii="宋体" w:hAnsi="宋体" w:eastAsia="宋体" w:cs="宋体"/>
          <w:sz w:val="24"/>
          <w:szCs w:val="24"/>
        </w:rPr>
      </w:pPr>
    </w:p>
    <w:tbl>
      <w:tblPr>
        <w:tblStyle w:val="24"/>
        <w:tblW w:w="9646" w:type="dxa"/>
        <w:tblInd w:w="-1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74"/>
        <w:gridCol w:w="2030"/>
        <w:gridCol w:w="2274"/>
        <w:gridCol w:w="1579"/>
        <w:gridCol w:w="2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9" w:hRule="atLeast"/>
        </w:trPr>
        <w:tc>
          <w:tcPr>
            <w:tcW w:w="1574" w:type="dxa"/>
            <w:noWrap w:val="0"/>
            <w:vAlign w:val="center"/>
          </w:tcPr>
          <w:p>
            <w:pPr>
              <w:pStyle w:val="74"/>
              <w:spacing w:before="120" w:line="400" w:lineRule="exact"/>
              <w:ind w:left="97"/>
              <w:jc w:val="center"/>
              <w:rPr>
                <w:rFonts w:hint="eastAsia" w:ascii="宋体" w:hAnsi="宋体" w:eastAsia="宋体" w:cs="宋体"/>
                <w:sz w:val="24"/>
                <w:szCs w:val="24"/>
              </w:rPr>
            </w:pPr>
            <w:r>
              <w:rPr>
                <w:rFonts w:hint="eastAsia" w:ascii="宋体" w:hAnsi="宋体" w:eastAsia="宋体" w:cs="宋体"/>
                <w:sz w:val="24"/>
                <w:szCs w:val="24"/>
              </w:rPr>
              <w:t>工作地点</w:t>
            </w:r>
          </w:p>
        </w:tc>
        <w:tc>
          <w:tcPr>
            <w:tcW w:w="2030" w:type="dxa"/>
            <w:noWrap w:val="0"/>
            <w:vAlign w:val="center"/>
          </w:tcPr>
          <w:p>
            <w:pPr>
              <w:pStyle w:val="74"/>
              <w:spacing w:line="400" w:lineRule="exact"/>
              <w:ind w:right="122"/>
              <w:jc w:val="center"/>
              <w:rPr>
                <w:rFonts w:hint="eastAsia" w:ascii="宋体" w:hAnsi="宋体" w:eastAsia="宋体" w:cs="宋体"/>
                <w:sz w:val="24"/>
                <w:szCs w:val="24"/>
              </w:rPr>
            </w:pPr>
            <w:r>
              <w:rPr>
                <w:rFonts w:hint="eastAsia" w:ascii="宋体" w:hAnsi="宋体" w:eastAsia="宋体" w:cs="宋体"/>
                <w:sz w:val="24"/>
                <w:szCs w:val="24"/>
              </w:rPr>
              <w:t>岗位</w:t>
            </w:r>
          </w:p>
        </w:tc>
        <w:tc>
          <w:tcPr>
            <w:tcW w:w="2274" w:type="dxa"/>
            <w:noWrap w:val="0"/>
            <w:vAlign w:val="center"/>
          </w:tcPr>
          <w:p>
            <w:pPr>
              <w:pStyle w:val="74"/>
              <w:spacing w:line="400" w:lineRule="exact"/>
              <w:jc w:val="center"/>
              <w:rPr>
                <w:rFonts w:hint="eastAsia" w:ascii="宋体" w:hAnsi="宋体" w:eastAsia="宋体" w:cs="宋体"/>
                <w:sz w:val="24"/>
                <w:szCs w:val="24"/>
              </w:rPr>
            </w:pPr>
            <w:r>
              <w:rPr>
                <w:rFonts w:hint="eastAsia" w:ascii="宋体" w:hAnsi="宋体" w:eastAsia="宋体" w:cs="宋体"/>
                <w:sz w:val="24"/>
                <w:szCs w:val="24"/>
              </w:rPr>
              <w:t>人员要求说明</w:t>
            </w:r>
          </w:p>
        </w:tc>
        <w:tc>
          <w:tcPr>
            <w:tcW w:w="1579" w:type="dxa"/>
            <w:noWrap w:val="0"/>
            <w:vAlign w:val="center"/>
          </w:tcPr>
          <w:p>
            <w:pPr>
              <w:pStyle w:val="74"/>
              <w:spacing w:line="400" w:lineRule="exact"/>
              <w:ind w:right="48"/>
              <w:jc w:val="center"/>
              <w:rPr>
                <w:rFonts w:hint="eastAsia" w:ascii="宋体" w:hAnsi="宋体" w:eastAsia="宋体" w:cs="宋体"/>
                <w:sz w:val="24"/>
                <w:szCs w:val="24"/>
              </w:rPr>
            </w:pPr>
            <w:r>
              <w:rPr>
                <w:rFonts w:hint="eastAsia" w:ascii="宋体" w:hAnsi="宋体" w:eastAsia="宋体" w:cs="宋体"/>
                <w:sz w:val="24"/>
                <w:szCs w:val="24"/>
              </w:rPr>
              <w:t>常驻现场说明</w:t>
            </w:r>
          </w:p>
        </w:tc>
        <w:tc>
          <w:tcPr>
            <w:tcW w:w="2189" w:type="dxa"/>
            <w:noWrap w:val="0"/>
            <w:vAlign w:val="center"/>
          </w:tcPr>
          <w:p>
            <w:pPr>
              <w:pStyle w:val="74"/>
              <w:spacing w:before="120" w:line="400" w:lineRule="exact"/>
              <w:ind w:left="63" w:right="47"/>
              <w:jc w:val="center"/>
              <w:rPr>
                <w:rFonts w:hint="eastAsia" w:ascii="宋体" w:hAnsi="宋体" w:eastAsia="宋体" w:cs="宋体"/>
                <w:sz w:val="24"/>
                <w:szCs w:val="24"/>
              </w:rPr>
            </w:pPr>
            <w:r>
              <w:rPr>
                <w:rFonts w:hint="eastAsia" w:ascii="宋体" w:hAnsi="宋体" w:eastAsia="宋体" w:cs="宋体"/>
                <w:sz w:val="24"/>
                <w:szCs w:val="24"/>
              </w:rPr>
              <w:t>监理师数量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1574" w:type="dxa"/>
            <w:vMerge w:val="restart"/>
            <w:noWrap w:val="0"/>
            <w:vAlign w:val="center"/>
          </w:tcPr>
          <w:p>
            <w:pPr>
              <w:pStyle w:val="74"/>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芜湖市</w:t>
            </w:r>
          </w:p>
        </w:tc>
        <w:tc>
          <w:tcPr>
            <w:tcW w:w="2030" w:type="dxa"/>
            <w:noWrap w:val="0"/>
            <w:vAlign w:val="center"/>
          </w:tcPr>
          <w:p>
            <w:pPr>
              <w:pStyle w:val="74"/>
              <w:spacing w:before="165" w:line="400" w:lineRule="exact"/>
              <w:ind w:left="214" w:right="122"/>
              <w:jc w:val="center"/>
              <w:rPr>
                <w:rFonts w:hint="eastAsia" w:ascii="宋体" w:hAnsi="宋体" w:eastAsia="宋体" w:cs="宋体"/>
                <w:sz w:val="24"/>
                <w:szCs w:val="24"/>
              </w:rPr>
            </w:pPr>
            <w:r>
              <w:rPr>
                <w:rFonts w:hint="eastAsia" w:ascii="宋体" w:hAnsi="宋体" w:eastAsia="宋体" w:cs="宋体"/>
                <w:sz w:val="24"/>
                <w:szCs w:val="24"/>
              </w:rPr>
              <w:t>总监理工程师</w:t>
            </w:r>
          </w:p>
        </w:tc>
        <w:tc>
          <w:tcPr>
            <w:tcW w:w="2274" w:type="dxa"/>
            <w:noWrap w:val="0"/>
            <w:vAlign w:val="center"/>
          </w:tcPr>
          <w:p>
            <w:pPr>
              <w:pStyle w:val="74"/>
              <w:spacing w:before="195" w:line="400" w:lineRule="exact"/>
              <w:ind w:right="62"/>
              <w:jc w:val="center"/>
              <w:rPr>
                <w:rFonts w:hint="eastAsia" w:ascii="宋体" w:hAnsi="宋体" w:eastAsia="宋体" w:cs="宋体"/>
                <w:sz w:val="24"/>
                <w:szCs w:val="24"/>
              </w:rPr>
            </w:pPr>
            <w:r>
              <w:rPr>
                <w:rFonts w:hint="eastAsia" w:ascii="宋体" w:hAnsi="宋体" w:eastAsia="宋体" w:cs="宋体"/>
                <w:sz w:val="24"/>
                <w:szCs w:val="24"/>
              </w:rPr>
              <w:t>信息系统监理师证书</w:t>
            </w:r>
          </w:p>
        </w:tc>
        <w:tc>
          <w:tcPr>
            <w:tcW w:w="1579" w:type="dxa"/>
            <w:noWrap w:val="0"/>
            <w:vAlign w:val="center"/>
          </w:tcPr>
          <w:p>
            <w:pPr>
              <w:pStyle w:val="74"/>
              <w:spacing w:before="165" w:line="400" w:lineRule="exact"/>
              <w:ind w:left="169" w:right="48"/>
              <w:jc w:val="center"/>
              <w:rPr>
                <w:rFonts w:hint="eastAsia" w:ascii="宋体" w:hAnsi="宋体" w:eastAsia="宋体" w:cs="宋体"/>
                <w:sz w:val="24"/>
                <w:szCs w:val="24"/>
              </w:rPr>
            </w:pPr>
            <w:r>
              <w:rPr>
                <w:rFonts w:hint="eastAsia" w:ascii="宋体" w:hAnsi="宋体" w:eastAsia="宋体" w:cs="宋体"/>
                <w:sz w:val="24"/>
                <w:szCs w:val="24"/>
              </w:rPr>
              <w:t>常驻现场</w:t>
            </w:r>
          </w:p>
        </w:tc>
        <w:tc>
          <w:tcPr>
            <w:tcW w:w="2189" w:type="dxa"/>
            <w:noWrap w:val="0"/>
            <w:vAlign w:val="center"/>
          </w:tcPr>
          <w:p>
            <w:pPr>
              <w:pStyle w:val="74"/>
              <w:spacing w:before="162" w:line="400" w:lineRule="exact"/>
              <w:ind w:right="439"/>
              <w:jc w:val="center"/>
              <w:rPr>
                <w:rFonts w:hint="eastAsia" w:ascii="宋体" w:hAnsi="宋体" w:eastAsia="宋体" w:cs="宋体"/>
                <w:sz w:val="24"/>
                <w:szCs w:val="24"/>
              </w:rPr>
            </w:pPr>
            <w:r>
              <w:rPr>
                <w:rFonts w:hint="eastAsia" w:ascii="宋体" w:hAnsi="宋体" w:eastAsia="宋体" w:cs="宋体"/>
                <w:sz w:val="24"/>
                <w:szCs w:val="24"/>
              </w:rPr>
              <w:t xml:space="preserv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574" w:type="dxa"/>
            <w:vMerge w:val="continue"/>
            <w:noWrap w:val="0"/>
            <w:vAlign w:val="center"/>
          </w:tcPr>
          <w:p>
            <w:pPr>
              <w:spacing w:line="400" w:lineRule="exact"/>
              <w:jc w:val="center"/>
              <w:rPr>
                <w:rFonts w:hint="eastAsia" w:ascii="宋体" w:hAnsi="宋体" w:eastAsia="宋体" w:cs="宋体"/>
                <w:sz w:val="24"/>
                <w:szCs w:val="24"/>
              </w:rPr>
            </w:pPr>
          </w:p>
        </w:tc>
        <w:tc>
          <w:tcPr>
            <w:tcW w:w="2030" w:type="dxa"/>
            <w:noWrap w:val="0"/>
            <w:vAlign w:val="center"/>
          </w:tcPr>
          <w:p>
            <w:pPr>
              <w:pStyle w:val="74"/>
              <w:spacing w:before="165" w:line="400" w:lineRule="exact"/>
              <w:ind w:left="214" w:right="122"/>
              <w:jc w:val="center"/>
              <w:rPr>
                <w:rFonts w:hint="eastAsia" w:ascii="宋体" w:hAnsi="宋体" w:eastAsia="宋体" w:cs="宋体"/>
                <w:sz w:val="24"/>
                <w:szCs w:val="24"/>
              </w:rPr>
            </w:pPr>
            <w:r>
              <w:rPr>
                <w:rFonts w:hint="eastAsia" w:ascii="宋体" w:hAnsi="宋体" w:eastAsia="宋体" w:cs="宋体"/>
                <w:sz w:val="24"/>
                <w:szCs w:val="24"/>
              </w:rPr>
              <w:t>总监代表</w:t>
            </w:r>
          </w:p>
        </w:tc>
        <w:tc>
          <w:tcPr>
            <w:tcW w:w="2274" w:type="dxa"/>
            <w:noWrap w:val="0"/>
            <w:vAlign w:val="center"/>
          </w:tcPr>
          <w:p>
            <w:pPr>
              <w:pStyle w:val="74"/>
              <w:spacing w:before="195" w:line="400" w:lineRule="exact"/>
              <w:ind w:left="23"/>
              <w:jc w:val="center"/>
              <w:rPr>
                <w:rFonts w:hint="eastAsia" w:ascii="宋体" w:hAnsi="宋体" w:eastAsia="宋体" w:cs="宋体"/>
                <w:sz w:val="24"/>
                <w:szCs w:val="24"/>
              </w:rPr>
            </w:pPr>
            <w:r>
              <w:rPr>
                <w:rFonts w:hint="eastAsia" w:ascii="宋体" w:hAnsi="宋体" w:eastAsia="宋体" w:cs="宋体"/>
                <w:sz w:val="24"/>
                <w:szCs w:val="24"/>
              </w:rPr>
              <w:t>信息系统监理师证书</w:t>
            </w:r>
          </w:p>
        </w:tc>
        <w:tc>
          <w:tcPr>
            <w:tcW w:w="1579" w:type="dxa"/>
            <w:noWrap w:val="0"/>
            <w:vAlign w:val="center"/>
          </w:tcPr>
          <w:p>
            <w:pPr>
              <w:pStyle w:val="74"/>
              <w:spacing w:before="165" w:line="400" w:lineRule="exact"/>
              <w:ind w:left="169" w:right="48"/>
              <w:jc w:val="center"/>
              <w:rPr>
                <w:rFonts w:hint="eastAsia" w:ascii="宋体" w:hAnsi="宋体" w:eastAsia="宋体" w:cs="宋体"/>
                <w:sz w:val="24"/>
                <w:szCs w:val="24"/>
              </w:rPr>
            </w:pPr>
            <w:r>
              <w:rPr>
                <w:rFonts w:hint="eastAsia" w:ascii="宋体" w:hAnsi="宋体" w:eastAsia="宋体" w:cs="宋体"/>
                <w:sz w:val="24"/>
                <w:szCs w:val="24"/>
              </w:rPr>
              <w:t>常驻现场</w:t>
            </w:r>
          </w:p>
        </w:tc>
        <w:tc>
          <w:tcPr>
            <w:tcW w:w="2189" w:type="dxa"/>
            <w:noWrap w:val="0"/>
            <w:vAlign w:val="center"/>
          </w:tcPr>
          <w:p>
            <w:pPr>
              <w:pStyle w:val="74"/>
              <w:spacing w:before="162" w:line="400" w:lineRule="exact"/>
              <w:ind w:right="439"/>
              <w:jc w:val="center"/>
              <w:rPr>
                <w:rFonts w:hint="eastAsia" w:ascii="宋体" w:hAnsi="宋体" w:eastAsia="宋体" w:cs="宋体"/>
                <w:sz w:val="24"/>
                <w:szCs w:val="24"/>
              </w:rPr>
            </w:pPr>
            <w:r>
              <w:rPr>
                <w:rFonts w:hint="eastAsia" w:ascii="宋体" w:hAnsi="宋体" w:eastAsia="宋体" w:cs="宋体"/>
                <w:sz w:val="24"/>
                <w:szCs w:val="24"/>
              </w:rPr>
              <w:t xml:space="preserv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1574" w:type="dxa"/>
            <w:vMerge w:val="continue"/>
            <w:noWrap w:val="0"/>
            <w:vAlign w:val="center"/>
          </w:tcPr>
          <w:p>
            <w:pPr>
              <w:spacing w:line="400" w:lineRule="exact"/>
              <w:jc w:val="center"/>
              <w:rPr>
                <w:rFonts w:hint="eastAsia" w:ascii="宋体" w:hAnsi="宋体" w:eastAsia="宋体" w:cs="宋体"/>
                <w:sz w:val="24"/>
                <w:szCs w:val="24"/>
              </w:rPr>
            </w:pPr>
          </w:p>
        </w:tc>
        <w:tc>
          <w:tcPr>
            <w:tcW w:w="2030" w:type="dxa"/>
            <w:noWrap w:val="0"/>
            <w:vAlign w:val="center"/>
          </w:tcPr>
          <w:p>
            <w:pPr>
              <w:pStyle w:val="74"/>
              <w:spacing w:before="194"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专业监理工程师</w:t>
            </w:r>
          </w:p>
        </w:tc>
        <w:tc>
          <w:tcPr>
            <w:tcW w:w="2274" w:type="dxa"/>
            <w:noWrap w:val="0"/>
            <w:vAlign w:val="center"/>
          </w:tcPr>
          <w:p>
            <w:pPr>
              <w:pStyle w:val="74"/>
              <w:spacing w:before="190" w:line="400" w:lineRule="exact"/>
              <w:jc w:val="both"/>
              <w:rPr>
                <w:rFonts w:hint="eastAsia" w:ascii="宋体" w:hAnsi="宋体" w:eastAsia="宋体" w:cs="宋体"/>
                <w:sz w:val="24"/>
                <w:szCs w:val="24"/>
              </w:rPr>
            </w:pPr>
            <w:r>
              <w:rPr>
                <w:rFonts w:hint="eastAsia" w:ascii="宋体" w:hAnsi="宋体" w:eastAsia="宋体" w:cs="宋体"/>
                <w:sz w:val="24"/>
                <w:szCs w:val="24"/>
              </w:rPr>
              <w:t>信息系统监理师证书</w:t>
            </w:r>
          </w:p>
        </w:tc>
        <w:tc>
          <w:tcPr>
            <w:tcW w:w="1579" w:type="dxa"/>
            <w:noWrap w:val="0"/>
            <w:vAlign w:val="center"/>
          </w:tcPr>
          <w:p>
            <w:pPr>
              <w:pStyle w:val="74"/>
              <w:spacing w:before="194" w:line="40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常驻现场</w:t>
            </w:r>
          </w:p>
        </w:tc>
        <w:tc>
          <w:tcPr>
            <w:tcW w:w="2189" w:type="dxa"/>
            <w:noWrap w:val="0"/>
            <w:vAlign w:val="center"/>
          </w:tcPr>
          <w:p>
            <w:pPr>
              <w:pStyle w:val="74"/>
              <w:spacing w:before="190" w:line="400" w:lineRule="exact"/>
              <w:ind w:right="439" w:firstLine="960" w:firstLineChars="400"/>
              <w:jc w:val="both"/>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8" w:hRule="atLeast"/>
        </w:trPr>
        <w:tc>
          <w:tcPr>
            <w:tcW w:w="7457" w:type="dxa"/>
            <w:gridSpan w:val="4"/>
            <w:noWrap w:val="0"/>
            <w:vAlign w:val="center"/>
          </w:tcPr>
          <w:p>
            <w:pPr>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人员数量小计</w:t>
            </w:r>
          </w:p>
        </w:tc>
        <w:tc>
          <w:tcPr>
            <w:tcW w:w="2189" w:type="dxa"/>
            <w:noWrap w:val="0"/>
            <w:vAlign w:val="center"/>
          </w:tcPr>
          <w:p>
            <w:pPr>
              <w:spacing w:line="360" w:lineRule="auto"/>
              <w:ind w:firstLine="840" w:firstLineChars="350"/>
              <w:rPr>
                <w:rFonts w:hint="eastAsia" w:ascii="宋体" w:hAnsi="宋体" w:eastAsia="宋体" w:cs="宋体"/>
                <w:sz w:val="24"/>
                <w:szCs w:val="24"/>
              </w:rPr>
            </w:pPr>
            <w:r>
              <w:rPr>
                <w:rFonts w:hint="eastAsia" w:ascii="宋体" w:hAnsi="宋体" w:eastAsia="宋体" w:cs="宋体"/>
                <w:sz w:val="24"/>
                <w:szCs w:val="24"/>
              </w:rPr>
              <w:t>3人</w:t>
            </w:r>
          </w:p>
        </w:tc>
      </w:tr>
    </w:tbl>
    <w:p>
      <w:pPr>
        <w:pStyle w:val="5"/>
        <w:spacing w:before="67" w:line="400" w:lineRule="exact"/>
        <w:rPr>
          <w:rFonts w:hint="eastAsia" w:ascii="宋体" w:hAnsi="宋体" w:eastAsia="宋体" w:cs="宋体"/>
          <w:sz w:val="24"/>
          <w:szCs w:val="24"/>
        </w:rPr>
      </w:pPr>
    </w:p>
    <w:p>
      <w:pPr>
        <w:pStyle w:val="5"/>
        <w:spacing w:before="67" w:line="400" w:lineRule="exact"/>
        <w:rPr>
          <w:rFonts w:hint="eastAsia" w:ascii="宋体" w:hAnsi="宋体" w:eastAsia="宋体" w:cs="宋体"/>
          <w:sz w:val="24"/>
          <w:szCs w:val="24"/>
        </w:rPr>
      </w:pPr>
      <w:r>
        <w:rPr>
          <w:rFonts w:hint="eastAsia" w:ascii="宋体" w:hAnsi="宋体" w:eastAsia="宋体" w:cs="宋体"/>
          <w:sz w:val="24"/>
          <w:szCs w:val="24"/>
        </w:rPr>
        <w:t>项目监理应提供的主要仪器、检测设备（此设备配备为监理部最基本配置，包括但不限于以下内容）</w:t>
      </w:r>
    </w:p>
    <w:p>
      <w:pPr>
        <w:pStyle w:val="10"/>
        <w:spacing w:before="2" w:after="1" w:line="400" w:lineRule="exact"/>
        <w:rPr>
          <w:rFonts w:hint="eastAsia" w:ascii="宋体" w:hAnsi="宋体" w:eastAsia="宋体" w:cs="宋体"/>
          <w:b/>
          <w:sz w:val="24"/>
          <w:szCs w:val="24"/>
        </w:rPr>
      </w:pPr>
    </w:p>
    <w:tbl>
      <w:tblPr>
        <w:tblStyle w:val="24"/>
        <w:tblW w:w="0" w:type="auto"/>
        <w:tblInd w:w="13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3"/>
        <w:gridCol w:w="2879"/>
        <w:gridCol w:w="1276"/>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343" w:type="dxa"/>
            <w:tcBorders>
              <w:bottom w:val="single" w:color="000000" w:sz="6" w:space="0"/>
            </w:tcBorders>
            <w:noWrap w:val="0"/>
            <w:vAlign w:val="top"/>
          </w:tcPr>
          <w:p>
            <w:pPr>
              <w:pStyle w:val="74"/>
              <w:spacing w:before="75"/>
              <w:ind w:left="478" w:right="394"/>
              <w:jc w:val="center"/>
              <w:rPr>
                <w:rFonts w:hint="eastAsia" w:ascii="宋体" w:hAnsi="宋体" w:eastAsia="宋体" w:cs="宋体"/>
                <w:sz w:val="24"/>
                <w:szCs w:val="24"/>
              </w:rPr>
            </w:pPr>
            <w:r>
              <w:rPr>
                <w:rFonts w:hint="eastAsia" w:ascii="宋体" w:hAnsi="宋体" w:eastAsia="宋体" w:cs="宋体"/>
                <w:sz w:val="24"/>
                <w:szCs w:val="24"/>
              </w:rPr>
              <w:t>序号</w:t>
            </w:r>
          </w:p>
        </w:tc>
        <w:tc>
          <w:tcPr>
            <w:tcW w:w="2879" w:type="dxa"/>
            <w:tcBorders>
              <w:bottom w:val="single" w:color="000000" w:sz="6" w:space="0"/>
            </w:tcBorders>
            <w:noWrap w:val="0"/>
            <w:vAlign w:val="top"/>
          </w:tcPr>
          <w:p>
            <w:pPr>
              <w:pStyle w:val="74"/>
              <w:spacing w:before="75"/>
              <w:ind w:left="511" w:right="425"/>
              <w:jc w:val="center"/>
              <w:rPr>
                <w:rFonts w:hint="eastAsia" w:ascii="宋体" w:hAnsi="宋体" w:eastAsia="宋体" w:cs="宋体"/>
                <w:sz w:val="24"/>
                <w:szCs w:val="24"/>
              </w:rPr>
            </w:pPr>
            <w:r>
              <w:rPr>
                <w:rFonts w:hint="eastAsia" w:ascii="宋体" w:hAnsi="宋体" w:eastAsia="宋体" w:cs="宋体"/>
                <w:sz w:val="24"/>
                <w:szCs w:val="24"/>
              </w:rPr>
              <w:t>设备或仪器名称</w:t>
            </w:r>
          </w:p>
        </w:tc>
        <w:tc>
          <w:tcPr>
            <w:tcW w:w="1276" w:type="dxa"/>
            <w:tcBorders>
              <w:bottom w:val="single" w:color="000000" w:sz="6" w:space="0"/>
            </w:tcBorders>
            <w:noWrap w:val="0"/>
            <w:vAlign w:val="top"/>
          </w:tcPr>
          <w:p>
            <w:pPr>
              <w:pStyle w:val="74"/>
              <w:spacing w:before="75"/>
              <w:ind w:left="138" w:right="55"/>
              <w:jc w:val="center"/>
              <w:rPr>
                <w:rFonts w:hint="eastAsia" w:ascii="宋体" w:hAnsi="宋体" w:eastAsia="宋体" w:cs="宋体"/>
                <w:sz w:val="24"/>
                <w:szCs w:val="24"/>
              </w:rPr>
            </w:pPr>
            <w:r>
              <w:rPr>
                <w:rFonts w:hint="eastAsia" w:ascii="宋体" w:hAnsi="宋体" w:eastAsia="宋体" w:cs="宋体"/>
                <w:sz w:val="24"/>
                <w:szCs w:val="24"/>
              </w:rPr>
              <w:t>数量</w:t>
            </w:r>
          </w:p>
        </w:tc>
        <w:tc>
          <w:tcPr>
            <w:tcW w:w="2349" w:type="dxa"/>
            <w:tcBorders>
              <w:bottom w:val="single" w:color="000000" w:sz="6" w:space="0"/>
            </w:tcBorders>
            <w:noWrap w:val="0"/>
            <w:vAlign w:val="top"/>
          </w:tcPr>
          <w:p>
            <w:pPr>
              <w:pStyle w:val="74"/>
              <w:tabs>
                <w:tab w:val="left" w:pos="507"/>
              </w:tabs>
              <w:spacing w:before="75"/>
              <w:ind w:left="87"/>
              <w:jc w:val="center"/>
              <w:rPr>
                <w:rFonts w:hint="eastAsia" w:ascii="宋体" w:hAnsi="宋体" w:eastAsia="宋体" w:cs="宋体"/>
                <w:sz w:val="24"/>
                <w:szCs w:val="24"/>
              </w:rPr>
            </w:pPr>
            <w:r>
              <w:rPr>
                <w:rFonts w:hint="eastAsia" w:ascii="宋体" w:hAnsi="宋体" w:eastAsia="宋体" w:cs="宋体"/>
                <w:sz w:val="24"/>
                <w:szCs w:val="24"/>
              </w:rPr>
              <w:t>备</w:t>
            </w:r>
            <w:r>
              <w:rPr>
                <w:rFonts w:hint="eastAsia" w:ascii="宋体" w:hAnsi="宋体" w:eastAsia="宋体" w:cs="宋体"/>
                <w:sz w:val="24"/>
                <w:szCs w:val="24"/>
              </w:rPr>
              <w:tab/>
            </w:r>
            <w:r>
              <w:rPr>
                <w:rFonts w:hint="eastAsia" w:ascii="宋体" w:hAnsi="宋体" w:eastAsia="宋体" w:cs="宋体"/>
                <w:sz w:val="24"/>
                <w:szCs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343" w:type="dxa"/>
            <w:tcBorders>
              <w:top w:val="single" w:color="000000" w:sz="6" w:space="0"/>
              <w:bottom w:val="single" w:color="000000" w:sz="6" w:space="0"/>
            </w:tcBorders>
            <w:noWrap w:val="0"/>
            <w:vAlign w:val="top"/>
          </w:tcPr>
          <w:p>
            <w:pPr>
              <w:pStyle w:val="74"/>
              <w:spacing w:before="72"/>
              <w:ind w:left="84"/>
              <w:jc w:val="center"/>
              <w:rPr>
                <w:rFonts w:hint="eastAsia" w:ascii="宋体" w:hAnsi="宋体" w:eastAsia="宋体" w:cs="宋体"/>
                <w:sz w:val="24"/>
                <w:szCs w:val="24"/>
              </w:rPr>
            </w:pPr>
            <w:r>
              <w:rPr>
                <w:rFonts w:hint="eastAsia" w:ascii="宋体" w:hAnsi="宋体" w:eastAsia="宋体" w:cs="宋体"/>
                <w:w w:val="99"/>
                <w:sz w:val="24"/>
                <w:szCs w:val="24"/>
              </w:rPr>
              <w:t>1</w:t>
            </w:r>
          </w:p>
        </w:tc>
        <w:tc>
          <w:tcPr>
            <w:tcW w:w="2879" w:type="dxa"/>
            <w:tcBorders>
              <w:top w:val="single" w:color="000000" w:sz="6" w:space="0"/>
              <w:bottom w:val="single" w:color="000000" w:sz="6" w:space="0"/>
            </w:tcBorders>
            <w:noWrap w:val="0"/>
            <w:vAlign w:val="top"/>
          </w:tcPr>
          <w:p>
            <w:pPr>
              <w:pStyle w:val="74"/>
              <w:spacing w:before="74"/>
              <w:ind w:left="509" w:right="425"/>
              <w:jc w:val="center"/>
              <w:rPr>
                <w:rFonts w:hint="eastAsia" w:ascii="宋体" w:hAnsi="宋体" w:eastAsia="宋体" w:cs="宋体"/>
                <w:sz w:val="24"/>
                <w:szCs w:val="24"/>
              </w:rPr>
            </w:pPr>
            <w:r>
              <w:rPr>
                <w:rFonts w:hint="eastAsia" w:ascii="宋体" w:hAnsi="宋体" w:eastAsia="宋体" w:cs="宋体"/>
                <w:sz w:val="24"/>
                <w:szCs w:val="24"/>
              </w:rPr>
              <w:t>办公电脑</w:t>
            </w:r>
          </w:p>
        </w:tc>
        <w:tc>
          <w:tcPr>
            <w:tcW w:w="1276" w:type="dxa"/>
            <w:tcBorders>
              <w:top w:val="single" w:color="000000" w:sz="6" w:space="0"/>
              <w:bottom w:val="single" w:color="000000" w:sz="6" w:space="0"/>
            </w:tcBorders>
            <w:noWrap w:val="0"/>
            <w:vAlign w:val="top"/>
          </w:tcPr>
          <w:p>
            <w:pPr>
              <w:pStyle w:val="74"/>
              <w:spacing w:before="72"/>
              <w:ind w:left="88"/>
              <w:jc w:val="center"/>
              <w:rPr>
                <w:rFonts w:hint="eastAsia" w:ascii="宋体" w:hAnsi="宋体" w:eastAsia="宋体" w:cs="宋体"/>
                <w:sz w:val="24"/>
                <w:szCs w:val="24"/>
                <w:lang w:eastAsia="zh-CN"/>
              </w:rPr>
            </w:pPr>
            <w:r>
              <w:rPr>
                <w:rFonts w:hint="eastAsia" w:ascii="宋体" w:hAnsi="宋体" w:eastAsia="宋体" w:cs="宋体"/>
                <w:w w:val="99"/>
                <w:sz w:val="24"/>
                <w:szCs w:val="24"/>
                <w:lang w:val="en-US" w:eastAsia="zh-CN"/>
              </w:rPr>
              <w:t>3</w:t>
            </w:r>
          </w:p>
        </w:tc>
        <w:tc>
          <w:tcPr>
            <w:tcW w:w="2349" w:type="dxa"/>
            <w:tcBorders>
              <w:top w:val="single" w:color="000000" w:sz="6" w:space="0"/>
              <w:bottom w:val="single" w:color="000000" w:sz="6" w:space="0"/>
            </w:tcBorders>
            <w:noWrap w:val="0"/>
            <w:vAlign w:val="top"/>
          </w:tcPr>
          <w:p>
            <w:pPr>
              <w:pStyle w:val="74"/>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343" w:type="dxa"/>
            <w:tcBorders>
              <w:top w:val="single" w:color="000000" w:sz="6" w:space="0"/>
              <w:bottom w:val="single" w:color="000000" w:sz="6" w:space="0"/>
            </w:tcBorders>
            <w:noWrap w:val="0"/>
            <w:vAlign w:val="top"/>
          </w:tcPr>
          <w:p>
            <w:pPr>
              <w:pStyle w:val="74"/>
              <w:spacing w:before="74"/>
              <w:ind w:left="84"/>
              <w:jc w:val="center"/>
              <w:rPr>
                <w:rFonts w:hint="eastAsia" w:ascii="宋体" w:hAnsi="宋体" w:eastAsia="宋体" w:cs="宋体"/>
                <w:sz w:val="24"/>
                <w:szCs w:val="24"/>
              </w:rPr>
            </w:pPr>
            <w:r>
              <w:rPr>
                <w:rFonts w:hint="eastAsia" w:ascii="宋体" w:hAnsi="宋体" w:eastAsia="宋体" w:cs="宋体"/>
                <w:w w:val="99"/>
                <w:sz w:val="24"/>
                <w:szCs w:val="24"/>
              </w:rPr>
              <w:t>2</w:t>
            </w:r>
          </w:p>
        </w:tc>
        <w:tc>
          <w:tcPr>
            <w:tcW w:w="2879" w:type="dxa"/>
            <w:tcBorders>
              <w:top w:val="single" w:color="000000" w:sz="6" w:space="0"/>
              <w:bottom w:val="single" w:color="000000" w:sz="6" w:space="0"/>
            </w:tcBorders>
            <w:noWrap w:val="0"/>
            <w:vAlign w:val="top"/>
          </w:tcPr>
          <w:p>
            <w:pPr>
              <w:pStyle w:val="74"/>
              <w:spacing w:before="74"/>
              <w:ind w:left="511" w:right="425"/>
              <w:jc w:val="center"/>
              <w:rPr>
                <w:rFonts w:hint="eastAsia" w:ascii="宋体" w:hAnsi="宋体" w:eastAsia="宋体" w:cs="宋体"/>
                <w:sz w:val="24"/>
                <w:szCs w:val="24"/>
              </w:rPr>
            </w:pPr>
            <w:r>
              <w:rPr>
                <w:rFonts w:hint="eastAsia" w:ascii="宋体" w:hAnsi="宋体" w:eastAsia="宋体" w:cs="宋体"/>
                <w:sz w:val="24"/>
                <w:szCs w:val="24"/>
              </w:rPr>
              <w:t>打印机</w:t>
            </w:r>
          </w:p>
        </w:tc>
        <w:tc>
          <w:tcPr>
            <w:tcW w:w="1276" w:type="dxa"/>
            <w:tcBorders>
              <w:top w:val="single" w:color="000000" w:sz="6" w:space="0"/>
              <w:bottom w:val="single" w:color="000000" w:sz="6" w:space="0"/>
            </w:tcBorders>
            <w:noWrap w:val="0"/>
            <w:vAlign w:val="top"/>
          </w:tcPr>
          <w:p>
            <w:pPr>
              <w:pStyle w:val="74"/>
              <w:spacing w:before="74"/>
              <w:ind w:left="88"/>
              <w:jc w:val="center"/>
              <w:rPr>
                <w:rFonts w:hint="eastAsia" w:ascii="宋体" w:hAnsi="宋体" w:eastAsia="宋体" w:cs="宋体"/>
                <w:sz w:val="24"/>
                <w:szCs w:val="24"/>
              </w:rPr>
            </w:pPr>
            <w:r>
              <w:rPr>
                <w:rFonts w:hint="eastAsia" w:ascii="宋体" w:hAnsi="宋体" w:eastAsia="宋体" w:cs="宋体"/>
                <w:w w:val="99"/>
                <w:sz w:val="24"/>
                <w:szCs w:val="24"/>
              </w:rPr>
              <w:t>1</w:t>
            </w:r>
          </w:p>
        </w:tc>
        <w:tc>
          <w:tcPr>
            <w:tcW w:w="2349" w:type="dxa"/>
            <w:tcBorders>
              <w:top w:val="single" w:color="000000" w:sz="6" w:space="0"/>
              <w:bottom w:val="single" w:color="000000" w:sz="6" w:space="0"/>
            </w:tcBorders>
            <w:noWrap w:val="0"/>
            <w:vAlign w:val="top"/>
          </w:tcPr>
          <w:p>
            <w:pPr>
              <w:pStyle w:val="74"/>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343" w:type="dxa"/>
            <w:tcBorders>
              <w:top w:val="single" w:color="000000" w:sz="6" w:space="0"/>
              <w:bottom w:val="single" w:color="000000" w:sz="6" w:space="0"/>
            </w:tcBorders>
            <w:noWrap w:val="0"/>
            <w:vAlign w:val="top"/>
          </w:tcPr>
          <w:p>
            <w:pPr>
              <w:pStyle w:val="74"/>
              <w:spacing w:before="73"/>
              <w:ind w:left="84"/>
              <w:jc w:val="center"/>
              <w:rPr>
                <w:rFonts w:hint="eastAsia" w:ascii="宋体" w:hAnsi="宋体" w:eastAsia="宋体" w:cs="宋体"/>
                <w:sz w:val="24"/>
                <w:szCs w:val="24"/>
              </w:rPr>
            </w:pPr>
            <w:r>
              <w:rPr>
                <w:rFonts w:hint="eastAsia" w:ascii="宋体" w:hAnsi="宋体" w:eastAsia="宋体" w:cs="宋体"/>
                <w:w w:val="99"/>
                <w:sz w:val="24"/>
                <w:szCs w:val="24"/>
              </w:rPr>
              <w:t>3</w:t>
            </w:r>
          </w:p>
        </w:tc>
        <w:tc>
          <w:tcPr>
            <w:tcW w:w="2879" w:type="dxa"/>
            <w:tcBorders>
              <w:top w:val="single" w:color="000000" w:sz="6" w:space="0"/>
              <w:bottom w:val="single" w:color="000000" w:sz="6" w:space="0"/>
            </w:tcBorders>
            <w:noWrap w:val="0"/>
            <w:vAlign w:val="top"/>
          </w:tcPr>
          <w:p>
            <w:pPr>
              <w:pStyle w:val="74"/>
              <w:spacing w:before="75"/>
              <w:ind w:left="509" w:right="425"/>
              <w:jc w:val="center"/>
              <w:rPr>
                <w:rFonts w:hint="eastAsia" w:ascii="宋体" w:hAnsi="宋体" w:eastAsia="宋体" w:cs="宋体"/>
                <w:sz w:val="24"/>
                <w:szCs w:val="24"/>
              </w:rPr>
            </w:pPr>
            <w:r>
              <w:rPr>
                <w:rFonts w:hint="eastAsia" w:ascii="宋体" w:hAnsi="宋体" w:eastAsia="宋体" w:cs="宋体"/>
                <w:sz w:val="24"/>
                <w:szCs w:val="24"/>
              </w:rPr>
              <w:t>数码相机</w:t>
            </w:r>
          </w:p>
        </w:tc>
        <w:tc>
          <w:tcPr>
            <w:tcW w:w="1276" w:type="dxa"/>
            <w:tcBorders>
              <w:top w:val="single" w:color="000000" w:sz="6" w:space="0"/>
              <w:bottom w:val="single" w:color="000000" w:sz="6" w:space="0"/>
            </w:tcBorders>
            <w:noWrap w:val="0"/>
            <w:vAlign w:val="top"/>
          </w:tcPr>
          <w:p>
            <w:pPr>
              <w:pStyle w:val="74"/>
              <w:spacing w:before="73"/>
              <w:ind w:left="88"/>
              <w:jc w:val="center"/>
              <w:rPr>
                <w:rFonts w:hint="eastAsia" w:ascii="宋体" w:hAnsi="宋体" w:eastAsia="宋体" w:cs="宋体"/>
                <w:sz w:val="24"/>
                <w:szCs w:val="24"/>
              </w:rPr>
            </w:pPr>
            <w:r>
              <w:rPr>
                <w:rFonts w:hint="eastAsia" w:ascii="宋体" w:hAnsi="宋体" w:eastAsia="宋体" w:cs="宋体"/>
                <w:w w:val="99"/>
                <w:sz w:val="24"/>
                <w:szCs w:val="24"/>
              </w:rPr>
              <w:t>1</w:t>
            </w:r>
          </w:p>
        </w:tc>
        <w:tc>
          <w:tcPr>
            <w:tcW w:w="2349" w:type="dxa"/>
            <w:tcBorders>
              <w:top w:val="single" w:color="000000" w:sz="6" w:space="0"/>
              <w:bottom w:val="single" w:color="000000" w:sz="6" w:space="0"/>
            </w:tcBorders>
            <w:noWrap w:val="0"/>
            <w:vAlign w:val="top"/>
          </w:tcPr>
          <w:p>
            <w:pPr>
              <w:pStyle w:val="74"/>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343" w:type="dxa"/>
            <w:tcBorders>
              <w:top w:val="single" w:color="000000" w:sz="6" w:space="0"/>
              <w:bottom w:val="single" w:color="000000" w:sz="6" w:space="0"/>
            </w:tcBorders>
            <w:noWrap w:val="0"/>
            <w:vAlign w:val="top"/>
          </w:tcPr>
          <w:p>
            <w:pPr>
              <w:pStyle w:val="74"/>
              <w:spacing w:before="73"/>
              <w:ind w:left="84"/>
              <w:jc w:val="center"/>
              <w:rPr>
                <w:rFonts w:hint="eastAsia" w:ascii="宋体" w:hAnsi="宋体" w:eastAsia="宋体" w:cs="宋体"/>
                <w:sz w:val="24"/>
                <w:szCs w:val="24"/>
              </w:rPr>
            </w:pPr>
            <w:r>
              <w:rPr>
                <w:rFonts w:hint="eastAsia" w:ascii="宋体" w:hAnsi="宋体" w:eastAsia="宋体" w:cs="宋体"/>
                <w:w w:val="99"/>
                <w:sz w:val="24"/>
                <w:szCs w:val="24"/>
              </w:rPr>
              <w:t>4</w:t>
            </w:r>
          </w:p>
        </w:tc>
        <w:tc>
          <w:tcPr>
            <w:tcW w:w="2879" w:type="dxa"/>
            <w:tcBorders>
              <w:top w:val="single" w:color="000000" w:sz="6" w:space="0"/>
              <w:bottom w:val="single" w:color="000000" w:sz="6" w:space="0"/>
            </w:tcBorders>
            <w:noWrap w:val="0"/>
            <w:vAlign w:val="top"/>
          </w:tcPr>
          <w:p>
            <w:pPr>
              <w:pStyle w:val="74"/>
              <w:spacing w:before="75"/>
              <w:ind w:left="514" w:right="425"/>
              <w:jc w:val="center"/>
              <w:rPr>
                <w:rFonts w:hint="eastAsia" w:ascii="宋体" w:hAnsi="宋体" w:eastAsia="宋体" w:cs="宋体"/>
                <w:sz w:val="24"/>
                <w:szCs w:val="24"/>
              </w:rPr>
            </w:pPr>
            <w:r>
              <w:rPr>
                <w:rFonts w:hint="eastAsia" w:ascii="宋体" w:hAnsi="宋体" w:eastAsia="宋体" w:cs="宋体"/>
                <w:sz w:val="24"/>
                <w:szCs w:val="24"/>
              </w:rPr>
              <w:t>监理平台软件或系统</w:t>
            </w:r>
          </w:p>
        </w:tc>
        <w:tc>
          <w:tcPr>
            <w:tcW w:w="1276" w:type="dxa"/>
            <w:tcBorders>
              <w:top w:val="single" w:color="000000" w:sz="6" w:space="0"/>
              <w:bottom w:val="single" w:color="000000" w:sz="6" w:space="0"/>
            </w:tcBorders>
            <w:noWrap w:val="0"/>
            <w:vAlign w:val="top"/>
          </w:tcPr>
          <w:p>
            <w:pPr>
              <w:pStyle w:val="74"/>
              <w:spacing w:before="73"/>
              <w:ind w:left="88"/>
              <w:jc w:val="center"/>
              <w:rPr>
                <w:rFonts w:hint="eastAsia" w:ascii="宋体" w:hAnsi="宋体" w:eastAsia="宋体" w:cs="宋体"/>
                <w:sz w:val="24"/>
                <w:szCs w:val="24"/>
              </w:rPr>
            </w:pPr>
            <w:r>
              <w:rPr>
                <w:rFonts w:hint="eastAsia" w:ascii="宋体" w:hAnsi="宋体" w:eastAsia="宋体" w:cs="宋体"/>
                <w:w w:val="99"/>
                <w:sz w:val="24"/>
                <w:szCs w:val="24"/>
              </w:rPr>
              <w:t>1</w:t>
            </w:r>
          </w:p>
        </w:tc>
        <w:tc>
          <w:tcPr>
            <w:tcW w:w="2349" w:type="dxa"/>
            <w:tcBorders>
              <w:top w:val="single" w:color="000000" w:sz="6" w:space="0"/>
              <w:bottom w:val="single" w:color="000000" w:sz="6" w:space="0"/>
            </w:tcBorders>
            <w:noWrap w:val="0"/>
            <w:vAlign w:val="top"/>
          </w:tcPr>
          <w:p>
            <w:pPr>
              <w:pStyle w:val="74"/>
              <w:rPr>
                <w:rFonts w:hint="eastAsia" w:ascii="宋体" w:hAnsi="宋体" w:eastAsia="宋体" w:cs="宋体"/>
                <w:sz w:val="24"/>
                <w:szCs w:val="24"/>
              </w:rPr>
            </w:pPr>
          </w:p>
        </w:tc>
      </w:tr>
    </w:tbl>
    <w:p>
      <w:pPr>
        <w:pStyle w:val="69"/>
        <w:tabs>
          <w:tab w:val="left" w:pos="1483"/>
        </w:tabs>
        <w:spacing w:line="400" w:lineRule="exact"/>
        <w:ind w:left="0" w:firstLine="0"/>
        <w:rPr>
          <w:rFonts w:hint="eastAsia" w:ascii="宋体" w:hAnsi="宋体" w:eastAsia="宋体" w:cs="宋体"/>
          <w:sz w:val="24"/>
          <w:szCs w:val="24"/>
        </w:rPr>
      </w:pPr>
    </w:p>
    <w:p>
      <w:pPr>
        <w:pStyle w:val="69"/>
        <w:tabs>
          <w:tab w:val="left" w:pos="1483"/>
        </w:tabs>
        <w:spacing w:line="400" w:lineRule="exact"/>
        <w:ind w:left="0" w:firstLine="0"/>
        <w:rPr>
          <w:rFonts w:hint="eastAsia"/>
          <w:sz w:val="24"/>
        </w:rPr>
      </w:pPr>
    </w:p>
    <w:p>
      <w:pPr>
        <w:pStyle w:val="76"/>
        <w:ind w:firstLineChars="0"/>
        <w:jc w:val="center"/>
        <w:rPr>
          <w:rFonts w:hint="eastAsia" w:cs="宋体"/>
          <w:b/>
          <w:bCs/>
          <w:sz w:val="36"/>
          <w:szCs w:val="36"/>
        </w:rPr>
      </w:pPr>
    </w:p>
    <w:p>
      <w:pPr>
        <w:pStyle w:val="76"/>
        <w:ind w:firstLineChars="0"/>
        <w:jc w:val="center"/>
        <w:rPr>
          <w:rFonts w:hint="eastAsia" w:cs="宋体"/>
          <w:b/>
          <w:bCs/>
          <w:sz w:val="36"/>
          <w:szCs w:val="36"/>
        </w:rPr>
      </w:pPr>
    </w:p>
    <w:bookmarkEnd w:id="4"/>
    <w:p>
      <w:pPr>
        <w:pStyle w:val="76"/>
        <w:ind w:firstLineChars="0"/>
        <w:jc w:val="center"/>
        <w:rPr>
          <w:rFonts w:hint="eastAsia" w:cs="宋体"/>
          <w:b/>
          <w:bCs/>
          <w:sz w:val="36"/>
          <w:szCs w:val="36"/>
        </w:rPr>
      </w:pPr>
    </w:p>
    <w:p>
      <w:pPr>
        <w:pStyle w:val="76"/>
        <w:ind w:firstLineChars="0"/>
        <w:jc w:val="center"/>
        <w:rPr>
          <w:rFonts w:hint="eastAsia" w:cs="宋体"/>
          <w:b/>
          <w:bCs/>
          <w:sz w:val="36"/>
          <w:szCs w:val="36"/>
        </w:rPr>
      </w:pPr>
    </w:p>
    <w:p>
      <w:pPr>
        <w:pStyle w:val="76"/>
        <w:ind w:firstLineChars="0"/>
        <w:jc w:val="center"/>
        <w:rPr>
          <w:rFonts w:hint="eastAsia" w:cs="宋体"/>
          <w:b/>
          <w:bCs/>
          <w:sz w:val="36"/>
          <w:szCs w:val="36"/>
        </w:rPr>
      </w:pPr>
    </w:p>
    <w:p>
      <w:pPr>
        <w:pStyle w:val="76"/>
        <w:ind w:left="0" w:leftChars="0" w:firstLine="0" w:firstLineChars="0"/>
        <w:jc w:val="both"/>
        <w:rPr>
          <w:rFonts w:hint="eastAsia" w:cs="宋体"/>
          <w:b/>
          <w:bCs/>
          <w:sz w:val="36"/>
          <w:szCs w:val="36"/>
        </w:rPr>
      </w:pPr>
    </w:p>
    <w:p>
      <w:pPr>
        <w:pStyle w:val="76"/>
        <w:ind w:firstLineChars="0"/>
        <w:jc w:val="center"/>
        <w:rPr>
          <w:rFonts w:cs="宋体"/>
          <w:b/>
          <w:bCs/>
          <w:sz w:val="36"/>
          <w:szCs w:val="36"/>
        </w:rPr>
      </w:pPr>
      <w:r>
        <w:rPr>
          <w:rFonts w:hint="eastAsia" w:cs="宋体"/>
          <w:b/>
          <w:bCs/>
          <w:sz w:val="36"/>
          <w:szCs w:val="36"/>
        </w:rPr>
        <w:t>四、评审办法</w:t>
      </w:r>
    </w:p>
    <w:p>
      <w:pPr>
        <w:widowControl/>
        <w:spacing w:line="440" w:lineRule="exact"/>
        <w:ind w:right="34" w:firstLine="480" w:firstLineChars="200"/>
        <w:jc w:val="left"/>
        <w:rPr>
          <w:kern w:val="0"/>
          <w:sz w:val="24"/>
          <w:szCs w:val="24"/>
        </w:rPr>
      </w:pPr>
      <w:r>
        <w:rPr>
          <w:rFonts w:hint="eastAsia" w:ascii="宋体" w:hAnsi="宋体" w:cs="宋体"/>
          <w:kern w:val="0"/>
          <w:sz w:val="24"/>
          <w:szCs w:val="24"/>
        </w:rPr>
        <w:t>本项目采用</w:t>
      </w:r>
      <w:r>
        <w:rPr>
          <w:rFonts w:hint="eastAsia" w:ascii="宋体" w:hAnsi="宋体" w:cs="宋体"/>
          <w:b/>
          <w:bCs/>
          <w:kern w:val="0"/>
          <w:sz w:val="24"/>
          <w:szCs w:val="24"/>
        </w:rPr>
        <w:t>综合评分法</w:t>
      </w:r>
    </w:p>
    <w:p>
      <w:pPr>
        <w:widowControl/>
        <w:spacing w:line="440" w:lineRule="exact"/>
        <w:ind w:right="34" w:firstLine="480" w:firstLineChars="200"/>
        <w:jc w:val="left"/>
        <w:rPr>
          <w:kern w:val="0"/>
          <w:sz w:val="24"/>
          <w:szCs w:val="24"/>
        </w:rPr>
      </w:pPr>
      <w:r>
        <w:rPr>
          <w:rFonts w:hint="eastAsia" w:ascii="宋体" w:hAnsi="宋体" w:cs="宋体"/>
          <w:kern w:val="0"/>
          <w:sz w:val="24"/>
          <w:szCs w:val="24"/>
        </w:rPr>
        <w:t>综合评分法是指对作出了实质性响应的响应文件就下列诸多因素进行评审打分，以确定成交单位的评标方法，总分值为</w:t>
      </w:r>
      <w:r>
        <w:rPr>
          <w:kern w:val="0"/>
          <w:sz w:val="24"/>
          <w:szCs w:val="24"/>
        </w:rPr>
        <w:t>100</w:t>
      </w:r>
      <w:r>
        <w:rPr>
          <w:rFonts w:hint="eastAsia" w:ascii="宋体" w:hAnsi="宋体" w:cs="宋体"/>
          <w:kern w:val="0"/>
          <w:sz w:val="24"/>
          <w:szCs w:val="24"/>
        </w:rPr>
        <w:t>分，具体评分因素、评分标准及分值如下：</w:t>
      </w:r>
    </w:p>
    <w:p>
      <w:pPr>
        <w:widowControl/>
        <w:spacing w:line="440" w:lineRule="exact"/>
        <w:ind w:right="34" w:firstLine="420"/>
        <w:jc w:val="left"/>
        <w:outlineLvl w:val="0"/>
        <w:rPr>
          <w:b/>
          <w:bCs/>
          <w:kern w:val="0"/>
          <w:sz w:val="24"/>
          <w:szCs w:val="24"/>
        </w:rPr>
      </w:pPr>
      <w:r>
        <w:rPr>
          <w:rFonts w:hint="eastAsia" w:ascii="宋体" w:hAnsi="宋体" w:cs="宋体"/>
          <w:b/>
          <w:bCs/>
          <w:kern w:val="0"/>
          <w:sz w:val="24"/>
          <w:szCs w:val="24"/>
        </w:rPr>
        <w:t>（一）初审</w:t>
      </w:r>
    </w:p>
    <w:p>
      <w:pPr>
        <w:widowControl/>
        <w:spacing w:line="440" w:lineRule="exact"/>
        <w:ind w:right="34" w:firstLine="480" w:firstLineChars="200"/>
        <w:jc w:val="left"/>
        <w:rPr>
          <w:rFonts w:hint="default" w:ascii="宋体" w:eastAsia="宋体"/>
          <w:kern w:val="0"/>
          <w:sz w:val="24"/>
          <w:szCs w:val="24"/>
          <w:lang w:val="en-US" w:eastAsia="zh-CN"/>
        </w:rPr>
      </w:pPr>
      <w:r>
        <w:rPr>
          <w:rFonts w:hint="eastAsia" w:ascii="宋体" w:hAnsi="宋体" w:cs="宋体"/>
          <w:kern w:val="0"/>
          <w:sz w:val="24"/>
          <w:szCs w:val="24"/>
        </w:rPr>
        <w:t>评标专家组依据磋商文件的要求，对所有投标供应商提交的响应文件进行初步审核，了解其对磋商文件是否作出了实质性的响应，填写初审表。</w:t>
      </w:r>
      <w:r>
        <w:rPr>
          <w:rFonts w:hint="eastAsia" w:ascii="宋体" w:hAnsi="宋体" w:cs="宋体"/>
          <w:kern w:val="0"/>
          <w:sz w:val="24"/>
          <w:szCs w:val="24"/>
          <w:lang w:val="en-US" w:eastAsia="zh-CN"/>
        </w:rPr>
        <w:t>初审不通过的投标供应商将作无效投标处理，不进入下一步详细评审阶段。</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533"/>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28" w:type="dxa"/>
            <w:vAlign w:val="center"/>
          </w:tcPr>
          <w:p>
            <w:pPr>
              <w:widowControl/>
              <w:spacing w:line="360" w:lineRule="exact"/>
              <w:rPr>
                <w:rFonts w:ascii="宋体"/>
                <w:kern w:val="0"/>
                <w:sz w:val="20"/>
                <w:szCs w:val="20"/>
              </w:rPr>
            </w:pPr>
            <w:r>
              <w:rPr>
                <w:rFonts w:hint="eastAsia" w:ascii="宋体" w:hAnsi="宋体" w:cs="宋体"/>
                <w:kern w:val="0"/>
                <w:sz w:val="20"/>
                <w:szCs w:val="20"/>
              </w:rPr>
              <w:t>序号</w:t>
            </w:r>
          </w:p>
        </w:tc>
        <w:tc>
          <w:tcPr>
            <w:tcW w:w="3533" w:type="dxa"/>
            <w:vAlign w:val="center"/>
          </w:tcPr>
          <w:p>
            <w:pPr>
              <w:widowControl/>
              <w:spacing w:line="360" w:lineRule="exact"/>
              <w:rPr>
                <w:rFonts w:ascii="宋体"/>
                <w:kern w:val="0"/>
                <w:sz w:val="20"/>
                <w:szCs w:val="20"/>
              </w:rPr>
            </w:pPr>
            <w:r>
              <w:rPr>
                <w:rFonts w:hint="eastAsia" w:ascii="宋体" w:hAnsi="宋体" w:cs="宋体"/>
                <w:kern w:val="0"/>
                <w:sz w:val="20"/>
                <w:szCs w:val="20"/>
              </w:rPr>
              <w:t>审查内容</w:t>
            </w:r>
          </w:p>
        </w:tc>
        <w:tc>
          <w:tcPr>
            <w:tcW w:w="5493" w:type="dxa"/>
            <w:vAlign w:val="center"/>
          </w:tcPr>
          <w:p>
            <w:pPr>
              <w:widowControl/>
              <w:spacing w:line="360" w:lineRule="exact"/>
              <w:rPr>
                <w:rFonts w:ascii="宋体"/>
                <w:kern w:val="0"/>
                <w:sz w:val="20"/>
                <w:szCs w:val="20"/>
              </w:rPr>
            </w:pPr>
            <w:r>
              <w:rPr>
                <w:rFonts w:hint="eastAsia" w:ascii="宋体" w:hAnsi="宋体" w:cs="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28" w:type="dxa"/>
            <w:vAlign w:val="center"/>
          </w:tcPr>
          <w:p>
            <w:pPr>
              <w:widowControl/>
              <w:spacing w:line="360" w:lineRule="exact"/>
              <w:rPr>
                <w:rFonts w:ascii="宋体"/>
                <w:kern w:val="0"/>
                <w:sz w:val="20"/>
                <w:szCs w:val="20"/>
              </w:rPr>
            </w:pPr>
            <w:r>
              <w:rPr>
                <w:rFonts w:ascii="宋体" w:hAnsi="宋体" w:cs="宋体"/>
                <w:kern w:val="0"/>
                <w:sz w:val="20"/>
                <w:szCs w:val="20"/>
              </w:rPr>
              <w:t>1</w:t>
            </w:r>
          </w:p>
        </w:tc>
        <w:tc>
          <w:tcPr>
            <w:tcW w:w="3533" w:type="dxa"/>
            <w:vAlign w:val="center"/>
          </w:tcPr>
          <w:p>
            <w:pPr>
              <w:widowControl/>
              <w:spacing w:line="360" w:lineRule="exact"/>
              <w:rPr>
                <w:rFonts w:hint="eastAsia" w:ascii="宋体" w:eastAsia="宋体"/>
                <w:kern w:val="0"/>
                <w:sz w:val="20"/>
                <w:szCs w:val="20"/>
                <w:lang w:val="en-US" w:eastAsia="zh-CN"/>
              </w:rPr>
            </w:pPr>
            <w:r>
              <w:rPr>
                <w:rFonts w:hint="eastAsia" w:ascii="宋体" w:hAnsi="宋体" w:cs="宋体"/>
                <w:kern w:val="0"/>
                <w:sz w:val="20"/>
                <w:szCs w:val="20"/>
                <w:lang w:val="en-US" w:eastAsia="zh-CN"/>
              </w:rPr>
              <w:t>授权</w:t>
            </w:r>
            <w:r>
              <w:rPr>
                <w:rFonts w:hint="eastAsia" w:ascii="宋体" w:hAnsi="宋体" w:cs="宋体"/>
                <w:kern w:val="0"/>
                <w:sz w:val="20"/>
                <w:szCs w:val="20"/>
              </w:rPr>
              <w:t>授权书</w:t>
            </w:r>
            <w:r>
              <w:rPr>
                <w:rFonts w:hint="eastAsia" w:ascii="宋体" w:hAnsi="宋体" w:cs="宋体"/>
                <w:kern w:val="0"/>
                <w:sz w:val="20"/>
                <w:szCs w:val="20"/>
                <w:lang w:val="en-US" w:eastAsia="zh-CN"/>
              </w:rPr>
              <w:t>或法定代表人身份证明</w:t>
            </w:r>
          </w:p>
        </w:tc>
        <w:tc>
          <w:tcPr>
            <w:tcW w:w="5493" w:type="dxa"/>
            <w:vAlign w:val="center"/>
          </w:tcPr>
          <w:p>
            <w:pPr>
              <w:widowControl/>
              <w:spacing w:line="360" w:lineRule="exact"/>
              <w:rPr>
                <w:rFonts w:ascii="宋体"/>
                <w:kern w:val="0"/>
                <w:sz w:val="20"/>
                <w:szCs w:val="20"/>
              </w:rPr>
            </w:pPr>
            <w:r>
              <w:rPr>
                <w:rFonts w:hint="eastAsia" w:ascii="宋体" w:hAnsi="宋体" w:cs="宋体"/>
                <w:kern w:val="0"/>
                <w:sz w:val="20"/>
                <w:szCs w:val="20"/>
              </w:rPr>
              <w:t>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28" w:type="dxa"/>
            <w:vAlign w:val="center"/>
          </w:tcPr>
          <w:p>
            <w:pPr>
              <w:widowControl/>
              <w:spacing w:line="360" w:lineRule="exact"/>
              <w:rPr>
                <w:rFonts w:ascii="宋体"/>
                <w:kern w:val="0"/>
                <w:sz w:val="20"/>
                <w:szCs w:val="20"/>
              </w:rPr>
            </w:pPr>
            <w:r>
              <w:rPr>
                <w:rFonts w:ascii="宋体" w:hAnsi="宋体" w:cs="宋体"/>
                <w:kern w:val="0"/>
                <w:sz w:val="20"/>
                <w:szCs w:val="20"/>
              </w:rPr>
              <w:t>2</w:t>
            </w:r>
          </w:p>
        </w:tc>
        <w:tc>
          <w:tcPr>
            <w:tcW w:w="3533" w:type="dxa"/>
            <w:vAlign w:val="center"/>
          </w:tcPr>
          <w:p>
            <w:pPr>
              <w:widowControl/>
              <w:spacing w:line="360" w:lineRule="exact"/>
              <w:rPr>
                <w:rFonts w:ascii="宋体"/>
                <w:kern w:val="0"/>
                <w:sz w:val="20"/>
                <w:szCs w:val="20"/>
              </w:rPr>
            </w:pPr>
            <w:r>
              <w:rPr>
                <w:rFonts w:hint="eastAsia" w:ascii="宋体" w:hAnsi="宋体" w:cs="宋体"/>
                <w:kern w:val="0"/>
                <w:sz w:val="20"/>
                <w:szCs w:val="20"/>
              </w:rPr>
              <w:t>营业执照</w:t>
            </w:r>
          </w:p>
        </w:tc>
        <w:tc>
          <w:tcPr>
            <w:tcW w:w="5493" w:type="dxa"/>
            <w:vAlign w:val="center"/>
          </w:tcPr>
          <w:p>
            <w:pPr>
              <w:widowControl/>
              <w:spacing w:line="360" w:lineRule="exact"/>
              <w:rPr>
                <w:rFonts w:ascii="宋体"/>
                <w:kern w:val="0"/>
                <w:sz w:val="20"/>
                <w:szCs w:val="20"/>
              </w:rPr>
            </w:pPr>
            <w:r>
              <w:rPr>
                <w:rFonts w:hint="eastAsia" w:ascii="宋体" w:hAnsi="宋体" w:cs="宋体"/>
                <w:kern w:val="0"/>
                <w:sz w:val="20"/>
                <w:szCs w:val="20"/>
              </w:rPr>
              <w:t>提供营业执照复印件加盖投标供应商单位公章。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28" w:type="dxa"/>
            <w:vAlign w:val="center"/>
          </w:tcPr>
          <w:p>
            <w:pPr>
              <w:widowControl/>
              <w:spacing w:line="360" w:lineRule="exact"/>
              <w:rPr>
                <w:rFonts w:ascii="宋体"/>
                <w:kern w:val="0"/>
                <w:sz w:val="20"/>
                <w:szCs w:val="20"/>
              </w:rPr>
            </w:pPr>
            <w:r>
              <w:rPr>
                <w:rFonts w:ascii="宋体" w:hAnsi="宋体" w:cs="宋体"/>
                <w:kern w:val="0"/>
                <w:sz w:val="20"/>
                <w:szCs w:val="20"/>
              </w:rPr>
              <w:t>3</w:t>
            </w:r>
          </w:p>
        </w:tc>
        <w:tc>
          <w:tcPr>
            <w:tcW w:w="3533" w:type="dxa"/>
            <w:vAlign w:val="center"/>
          </w:tcPr>
          <w:p>
            <w:pPr>
              <w:widowControl/>
              <w:spacing w:line="360" w:lineRule="exact"/>
              <w:rPr>
                <w:rFonts w:ascii="宋体"/>
                <w:kern w:val="0"/>
                <w:sz w:val="20"/>
                <w:szCs w:val="20"/>
              </w:rPr>
            </w:pPr>
            <w:r>
              <w:rPr>
                <w:rFonts w:hint="eastAsia" w:ascii="宋体" w:hAnsi="宋体" w:cs="宋体"/>
                <w:kern w:val="0"/>
                <w:sz w:val="20"/>
                <w:szCs w:val="20"/>
              </w:rPr>
              <w:t>投标函、投标授权书</w:t>
            </w:r>
          </w:p>
        </w:tc>
        <w:tc>
          <w:tcPr>
            <w:tcW w:w="5493" w:type="dxa"/>
            <w:vAlign w:val="center"/>
          </w:tcPr>
          <w:p>
            <w:pPr>
              <w:widowControl/>
              <w:spacing w:line="360" w:lineRule="exact"/>
              <w:rPr>
                <w:rFonts w:ascii="宋体"/>
                <w:kern w:val="0"/>
                <w:sz w:val="20"/>
                <w:szCs w:val="20"/>
              </w:rPr>
            </w:pPr>
            <w:r>
              <w:rPr>
                <w:rFonts w:hint="eastAsia" w:ascii="宋体" w:hAnsi="宋体" w:cs="宋体"/>
                <w:kern w:val="0"/>
                <w:sz w:val="20"/>
                <w:szCs w:val="20"/>
              </w:rPr>
              <w:t>格式、填写要求符合磋商文件规定并加盖投标供应商单位公章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8" w:type="dxa"/>
            <w:vAlign w:val="center"/>
          </w:tcPr>
          <w:p>
            <w:pPr>
              <w:widowControl/>
              <w:spacing w:line="360" w:lineRule="exact"/>
              <w:rPr>
                <w:rFonts w:ascii="宋体"/>
                <w:kern w:val="0"/>
                <w:sz w:val="20"/>
                <w:szCs w:val="20"/>
              </w:rPr>
            </w:pPr>
            <w:r>
              <w:rPr>
                <w:rFonts w:ascii="宋体" w:hAnsi="宋体" w:cs="宋体"/>
                <w:kern w:val="0"/>
                <w:sz w:val="20"/>
                <w:szCs w:val="20"/>
              </w:rPr>
              <w:t>4</w:t>
            </w:r>
          </w:p>
        </w:tc>
        <w:tc>
          <w:tcPr>
            <w:tcW w:w="3533" w:type="dxa"/>
            <w:vAlign w:val="center"/>
          </w:tcPr>
          <w:p>
            <w:pPr>
              <w:widowControl/>
              <w:spacing w:line="360" w:lineRule="exact"/>
              <w:rPr>
                <w:rFonts w:ascii="宋体"/>
                <w:kern w:val="0"/>
                <w:sz w:val="20"/>
                <w:szCs w:val="20"/>
              </w:rPr>
            </w:pPr>
            <w:r>
              <w:rPr>
                <w:rFonts w:hint="eastAsia" w:ascii="宋体" w:hAnsi="宋体" w:cs="宋体"/>
                <w:kern w:val="0"/>
                <w:sz w:val="20"/>
                <w:szCs w:val="20"/>
              </w:rPr>
              <w:t>响应情况</w:t>
            </w:r>
          </w:p>
        </w:tc>
        <w:tc>
          <w:tcPr>
            <w:tcW w:w="5493" w:type="dxa"/>
            <w:vAlign w:val="center"/>
          </w:tcPr>
          <w:p>
            <w:pPr>
              <w:widowControl/>
              <w:spacing w:line="360" w:lineRule="exact"/>
              <w:rPr>
                <w:rFonts w:ascii="宋体"/>
                <w:kern w:val="0"/>
                <w:sz w:val="20"/>
                <w:szCs w:val="20"/>
              </w:rPr>
            </w:pPr>
            <w:r>
              <w:rPr>
                <w:rFonts w:hint="eastAsia" w:ascii="宋体" w:hAnsi="宋体" w:cs="宋体"/>
                <w:kern w:val="0"/>
                <w:sz w:val="20"/>
                <w:szCs w:val="20"/>
              </w:rPr>
              <w:t>付款响应、服务期限响应、实质性参数响应等</w:t>
            </w:r>
          </w:p>
        </w:tc>
      </w:tr>
    </w:tbl>
    <w:p>
      <w:pPr>
        <w:widowControl/>
        <w:spacing w:line="440" w:lineRule="exact"/>
        <w:ind w:right="34" w:firstLine="480" w:firstLineChars="200"/>
        <w:jc w:val="left"/>
        <w:rPr>
          <w:rFonts w:ascii="宋体"/>
          <w:kern w:val="0"/>
          <w:sz w:val="24"/>
          <w:szCs w:val="24"/>
        </w:rPr>
      </w:pPr>
    </w:p>
    <w:p>
      <w:pPr>
        <w:widowControl/>
        <w:spacing w:line="440" w:lineRule="exact"/>
        <w:ind w:right="34" w:firstLine="420"/>
        <w:jc w:val="left"/>
        <w:outlineLvl w:val="0"/>
        <w:rPr>
          <w:b/>
          <w:bCs/>
          <w:kern w:val="0"/>
          <w:sz w:val="24"/>
          <w:szCs w:val="24"/>
        </w:rPr>
      </w:pPr>
      <w:r>
        <w:rPr>
          <w:rFonts w:hint="eastAsia" w:ascii="宋体" w:hAnsi="宋体" w:cs="宋体"/>
          <w:b/>
          <w:bCs/>
          <w:kern w:val="0"/>
          <w:sz w:val="24"/>
          <w:szCs w:val="24"/>
        </w:rPr>
        <w:t>（二）详审</w:t>
      </w:r>
    </w:p>
    <w:tbl>
      <w:tblPr>
        <w:tblStyle w:val="24"/>
        <w:tblW w:w="916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481"/>
        <w:gridCol w:w="1033"/>
        <w:gridCol w:w="664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评审项目</w:t>
            </w:r>
          </w:p>
        </w:tc>
        <w:tc>
          <w:tcPr>
            <w:tcW w:w="10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分值</w:t>
            </w:r>
          </w:p>
        </w:tc>
        <w:tc>
          <w:tcPr>
            <w:tcW w:w="664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投标报价</w:t>
            </w:r>
          </w:p>
        </w:tc>
        <w:tc>
          <w:tcPr>
            <w:tcW w:w="10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u w:val="none"/>
                <w:lang w:val="en-US" w:eastAsia="zh-CN"/>
              </w:rPr>
              <w:t>15</w:t>
            </w:r>
            <w:r>
              <w:rPr>
                <w:rFonts w:hint="eastAsia" w:ascii="宋体" w:hAnsi="宋体" w:eastAsia="宋体" w:cs="宋体"/>
                <w:sz w:val="21"/>
                <w:szCs w:val="21"/>
              </w:rPr>
              <w:t>分</w:t>
            </w:r>
          </w:p>
        </w:tc>
        <w:tc>
          <w:tcPr>
            <w:tcW w:w="6647" w:type="dxa"/>
            <w:tcBorders>
              <w:top w:val="outset" w:color="auto" w:sz="6" w:space="0"/>
              <w:left w:val="outset" w:color="auto" w:sz="6" w:space="0"/>
              <w:bottom w:val="outset" w:color="auto" w:sz="6" w:space="0"/>
              <w:right w:val="outset" w:color="auto" w:sz="6" w:space="0"/>
            </w:tcBorders>
            <w:vAlign w:val="center"/>
          </w:tcPr>
          <w:p>
            <w:pPr>
              <w:spacing w:line="36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经评审的有效投标报价中最低的为评标基准价；评标价为评标基准价的得满分</w:t>
            </w:r>
            <w:r>
              <w:rPr>
                <w:rFonts w:hint="eastAsia" w:ascii="宋体" w:hAnsi="宋体" w:cs="宋体"/>
                <w:kern w:val="2"/>
                <w:sz w:val="21"/>
                <w:szCs w:val="21"/>
                <w:lang w:val="en-US" w:eastAsia="zh-CN" w:bidi="ar-SA"/>
              </w:rPr>
              <w:t>15</w:t>
            </w:r>
            <w:r>
              <w:rPr>
                <w:rFonts w:hint="eastAsia" w:ascii="宋体" w:hAnsi="宋体" w:eastAsia="宋体" w:cs="宋体"/>
                <w:kern w:val="2"/>
                <w:sz w:val="21"/>
                <w:szCs w:val="21"/>
                <w:lang w:val="en-US" w:eastAsia="zh-CN" w:bidi="ar-SA"/>
              </w:rPr>
              <w:t>分。其他投标人的投标报价得分统一按下列公式计算：投标报价得分=（评标基准价/投标报价）*15；（保留小数点后两位，第三位四舍五入）</w:t>
            </w:r>
          </w:p>
          <w:p>
            <w:pPr>
              <w:spacing w:line="360" w:lineRule="exact"/>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 xml:space="preserve"> 注：1、最低投标报价（含一个或同时多个）低于其他有效投标人的投标报价平均值50%时，评标委员会应当要求该投标人作出书面说明并提供相关证明材料。该投标人不能合理说明或不能提供相关证明材料的，视作该投标为无效投标。2、参与报价评审的投标报价为磋商后报价。</w:t>
            </w:r>
          </w:p>
          <w:p>
            <w:pPr>
              <w:pStyle w:val="13"/>
              <w:ind w:left="0" w:leftChars="0" w:firstLine="0" w:firstLineChars="0"/>
              <w:rPr>
                <w:rFonts w:hint="eastAsia" w:ascii="宋体" w:hAnsi="宋体" w:eastAsia="宋体" w:cs="宋体"/>
                <w:sz w:val="21"/>
                <w:szCs w:val="21"/>
                <w:lang w:val="en-US"/>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供应商业绩</w:t>
            </w:r>
          </w:p>
        </w:tc>
        <w:tc>
          <w:tcPr>
            <w:tcW w:w="10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u w:val="single"/>
                <w:lang w:val="en-US" w:eastAsia="zh-CN"/>
              </w:rPr>
            </w:pPr>
            <w:r>
              <w:rPr>
                <w:rFonts w:hint="eastAsia" w:ascii="宋体" w:hAnsi="宋体" w:eastAsia="宋体" w:cs="宋体"/>
                <w:sz w:val="21"/>
                <w:szCs w:val="21"/>
              </w:rPr>
              <w:t>9分</w:t>
            </w:r>
          </w:p>
        </w:tc>
        <w:tc>
          <w:tcPr>
            <w:tcW w:w="6647" w:type="dxa"/>
            <w:tcBorders>
              <w:top w:val="outset" w:color="auto" w:sz="6" w:space="0"/>
              <w:left w:val="outset" w:color="auto" w:sz="6" w:space="0"/>
              <w:bottom w:val="outset" w:color="auto" w:sz="6" w:space="0"/>
              <w:right w:val="outset" w:color="auto" w:sz="6"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业绩合同签订时间应自开标之日起上推</w:t>
            </w:r>
            <w:r>
              <w:rPr>
                <w:rFonts w:hint="eastAsia" w:ascii="宋体" w:hAnsi="宋体" w:eastAsia="宋体" w:cs="宋体"/>
                <w:sz w:val="21"/>
                <w:szCs w:val="21"/>
                <w:u w:val="single"/>
              </w:rPr>
              <w:t>3</w:t>
            </w:r>
            <w:r>
              <w:rPr>
                <w:rFonts w:hint="eastAsia" w:ascii="宋体" w:hAnsi="宋体" w:eastAsia="宋体" w:cs="宋体"/>
                <w:sz w:val="21"/>
                <w:szCs w:val="21"/>
              </w:rPr>
              <w:t>年内，签订同类服务（信息化项目建设监理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改造项目监理、机电项目监理</w:t>
            </w:r>
            <w:r>
              <w:rPr>
                <w:rFonts w:hint="eastAsia" w:ascii="宋体" w:hAnsi="宋体" w:eastAsia="宋体" w:cs="宋体"/>
                <w:sz w:val="21"/>
                <w:szCs w:val="21"/>
              </w:rPr>
              <w:t>）合同的，有一项加3分，加满9分为止。（投标文件中须提供业绩合同，签订时间以业绩合同为准，复印件或扫描件应能辨识买卖双方公章、签订时间，并加盖供应商公章；如业绩合同不能体现以上全部内容，可提供业绩合同甲方加盖公章的证明复印件或扫描件。否则，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tcBorders>
              <w:top w:val="outset" w:color="auto" w:sz="6" w:space="0"/>
              <w:left w:val="outset" w:color="auto" w:sz="6" w:space="0"/>
              <w:bottom w:val="outset" w:color="auto" w:sz="6" w:space="0"/>
              <w:right w:val="outset" w:color="auto" w:sz="6"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拟派团队</w:t>
            </w:r>
          </w:p>
        </w:tc>
        <w:tc>
          <w:tcPr>
            <w:tcW w:w="10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u w:val="single"/>
                <w:lang w:val="en-US" w:eastAsia="zh-CN"/>
              </w:rPr>
            </w:pPr>
            <w:r>
              <w:rPr>
                <w:rFonts w:hint="eastAsia" w:ascii="宋体" w:hAnsi="宋体" w:eastAsia="宋体" w:cs="宋体"/>
                <w:sz w:val="21"/>
                <w:szCs w:val="21"/>
              </w:rPr>
              <w:t>6分</w:t>
            </w:r>
          </w:p>
        </w:tc>
        <w:tc>
          <w:tcPr>
            <w:tcW w:w="6647" w:type="dxa"/>
            <w:tcBorders>
              <w:top w:val="outset" w:color="auto" w:sz="6" w:space="0"/>
              <w:left w:val="outset" w:color="auto" w:sz="6" w:space="0"/>
              <w:bottom w:val="outset" w:color="auto" w:sz="6" w:space="0"/>
              <w:right w:val="outset" w:color="auto" w:sz="6" w:space="0"/>
            </w:tcBorders>
            <w:vAlign w:val="center"/>
          </w:tcPr>
          <w:p>
            <w:pPr>
              <w:pStyle w:val="8"/>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总监理工程师</w:t>
            </w:r>
            <w:r>
              <w:rPr>
                <w:rFonts w:hint="eastAsia" w:ascii="宋体" w:hAnsi="宋体" w:eastAsia="宋体" w:cs="宋体"/>
                <w:sz w:val="21"/>
                <w:szCs w:val="21"/>
              </w:rPr>
              <w:t>具有高级工程师证书得</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分； </w:t>
            </w:r>
          </w:p>
          <w:p>
            <w:pPr>
              <w:pStyle w:val="8"/>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val="en-US" w:eastAsia="zh-CN"/>
              </w:rPr>
              <w:t>除满足磋商文件的要求外，每多拟派一个信息化监理工程师</w:t>
            </w:r>
            <w:r>
              <w:rPr>
                <w:rFonts w:hint="eastAsia" w:ascii="宋体" w:hAnsi="宋体" w:eastAsia="宋体" w:cs="宋体"/>
                <w:sz w:val="21"/>
                <w:szCs w:val="21"/>
                <w:lang w:val="en-US" w:eastAsia="zh-CN"/>
              </w:rPr>
              <w:t>，</w:t>
            </w:r>
            <w:r>
              <w:rPr>
                <w:rFonts w:hint="eastAsia" w:ascii="宋体" w:hAnsi="宋体" w:eastAsia="宋体" w:cs="宋体"/>
                <w:sz w:val="21"/>
                <w:szCs w:val="21"/>
              </w:rPr>
              <w:t>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jc w:val="left"/>
              <w:rPr>
                <w:rFonts w:hint="eastAsia" w:ascii="宋体" w:hAnsi="宋体" w:eastAsia="宋体" w:cs="宋体"/>
                <w:sz w:val="21"/>
                <w:szCs w:val="21"/>
              </w:rPr>
            </w:pPr>
            <w:r>
              <w:rPr>
                <w:rFonts w:hint="eastAsia" w:ascii="宋体" w:hAnsi="宋体" w:eastAsia="宋体" w:cs="宋体"/>
                <w:sz w:val="21"/>
                <w:szCs w:val="21"/>
              </w:rPr>
              <w:t>注：投标文件中提供上述证书证明材料的扫描件或影印件，未提供或提供不全面的不得分。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监理主要仪器配备情况</w:t>
            </w:r>
          </w:p>
        </w:tc>
        <w:tc>
          <w:tcPr>
            <w:tcW w:w="10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10分</w:t>
            </w:r>
          </w:p>
        </w:tc>
        <w:tc>
          <w:tcPr>
            <w:tcW w:w="6647" w:type="dxa"/>
            <w:tcBorders>
              <w:top w:val="outset" w:color="auto" w:sz="6" w:space="0"/>
              <w:left w:val="outset" w:color="auto" w:sz="6" w:space="0"/>
              <w:bottom w:val="outset" w:color="auto" w:sz="6" w:space="0"/>
              <w:right w:val="outset" w:color="auto" w:sz="6" w:space="0"/>
            </w:tcBorders>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投标人需按招标人提供的本项目所需监理主要仪器配备表提供设备，保证设备齐全、满足项目监理要求的得 10 分；没有不得分。（按仪器配备表的备注情况提供相关证明材料）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vMerge w:val="restart"/>
            <w:tcBorders>
              <w:top w:val="outset" w:color="auto" w:sz="6" w:space="0"/>
              <w:left w:val="outset" w:color="auto" w:sz="6" w:space="0"/>
              <w:right w:val="outset" w:color="auto" w:sz="6" w:space="0"/>
            </w:tcBorders>
            <w:vAlign w:val="center"/>
          </w:tcPr>
          <w:p>
            <w:pPr>
              <w:jc w:val="center"/>
              <w:rPr>
                <w:rFonts w:hint="default" w:ascii="宋体" w:hAnsi="宋体" w:eastAsia="宋体" w:cs="宋体"/>
                <w:sz w:val="21"/>
                <w:szCs w:val="21"/>
                <w:lang w:val="en-US"/>
              </w:rPr>
            </w:pPr>
            <w:r>
              <w:rPr>
                <w:rFonts w:hint="eastAsia" w:ascii="宋体" w:hAnsi="宋体" w:eastAsia="宋体" w:cs="宋体"/>
                <w:sz w:val="21"/>
                <w:szCs w:val="21"/>
                <w:lang w:val="en-US" w:eastAsia="zh-CN"/>
              </w:rPr>
              <w:t>监理大纲</w:t>
            </w:r>
            <w:r>
              <w:rPr>
                <w:rFonts w:hint="eastAsia" w:ascii="宋体" w:hAnsi="宋体" w:cs="宋体"/>
                <w:sz w:val="21"/>
                <w:szCs w:val="21"/>
                <w:lang w:val="en-US" w:eastAsia="zh-CN"/>
              </w:rPr>
              <w:t>60分</w:t>
            </w:r>
          </w:p>
        </w:tc>
        <w:tc>
          <w:tcPr>
            <w:tcW w:w="10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highlight w:val="white"/>
              </w:rPr>
              <w:t>总监对该项目的书面陈述</w:t>
            </w:r>
            <w:r>
              <w:rPr>
                <w:rFonts w:hint="eastAsia" w:ascii="宋体" w:hAnsi="宋体" w:cs="宋体"/>
                <w:sz w:val="21"/>
                <w:szCs w:val="21"/>
                <w:highlight w:val="white"/>
                <w:lang w:val="en-US" w:eastAsia="zh-CN"/>
              </w:rPr>
              <w:t>10</w:t>
            </w:r>
            <w:r>
              <w:rPr>
                <w:rFonts w:hint="eastAsia" w:ascii="宋体" w:hAnsi="宋体" w:eastAsia="宋体" w:cs="宋体"/>
                <w:sz w:val="21"/>
                <w:szCs w:val="21"/>
                <w:highlight w:val="white"/>
              </w:rPr>
              <w:t>分</w:t>
            </w:r>
          </w:p>
        </w:tc>
        <w:tc>
          <w:tcPr>
            <w:tcW w:w="6647" w:type="dxa"/>
            <w:tcBorders>
              <w:top w:val="outset" w:color="auto" w:sz="6" w:space="0"/>
              <w:left w:val="outset" w:color="auto" w:sz="6" w:space="0"/>
              <w:bottom w:val="outset" w:color="auto" w:sz="6" w:space="0"/>
              <w:right w:val="outset" w:color="auto" w:sz="6" w:space="0"/>
            </w:tcBorders>
            <w:vAlign w:val="center"/>
          </w:tcPr>
          <w:p>
            <w:pPr>
              <w:ind w:firstLine="478" w:firstLineChars="228"/>
              <w:rPr>
                <w:rFonts w:hint="eastAsia" w:ascii="宋体" w:hAnsi="宋体" w:eastAsia="宋体" w:cs="宋体"/>
                <w:sz w:val="21"/>
                <w:szCs w:val="21"/>
                <w:highlight w:val="white"/>
              </w:rPr>
            </w:pPr>
            <w:r>
              <w:rPr>
                <w:rFonts w:hint="eastAsia" w:ascii="宋体" w:hAnsi="宋体" w:eastAsia="宋体" w:cs="宋体"/>
                <w:sz w:val="21"/>
                <w:szCs w:val="21"/>
                <w:highlight w:val="white"/>
              </w:rPr>
              <w:t>总监书面陈述必须根据项目的内容和特点作完整、深刻和有针对性的表达，特别是对项目的难点和关键点以及解决的办法，陈述必须详实、科学和客观合理，切忌空话、套话。评分标准：陈述全面、完整、深刻、有针对性的得</w:t>
            </w:r>
            <w:r>
              <w:rPr>
                <w:rFonts w:hint="eastAsia" w:ascii="宋体" w:hAnsi="宋体" w:cs="宋体"/>
                <w:sz w:val="21"/>
                <w:szCs w:val="21"/>
                <w:highlight w:val="white"/>
                <w:lang w:val="en-US" w:eastAsia="zh-CN"/>
              </w:rPr>
              <w:t>7-10</w:t>
            </w:r>
            <w:r>
              <w:rPr>
                <w:rFonts w:hint="eastAsia" w:ascii="宋体" w:hAnsi="宋体" w:eastAsia="宋体" w:cs="宋体"/>
                <w:sz w:val="21"/>
                <w:szCs w:val="21"/>
                <w:highlight w:val="white"/>
              </w:rPr>
              <w:t>分；陈述较全面、较完整、较深刻、较有针对性的得</w:t>
            </w:r>
            <w:r>
              <w:rPr>
                <w:rFonts w:hint="eastAsia" w:ascii="宋体" w:hAnsi="宋体" w:cs="宋体"/>
                <w:sz w:val="21"/>
                <w:szCs w:val="21"/>
                <w:highlight w:val="white"/>
                <w:lang w:val="en-US" w:eastAsia="zh-CN"/>
              </w:rPr>
              <w:t>4-7</w:t>
            </w:r>
            <w:r>
              <w:rPr>
                <w:rFonts w:hint="eastAsia" w:ascii="宋体" w:hAnsi="宋体" w:eastAsia="宋体" w:cs="宋体"/>
                <w:sz w:val="21"/>
                <w:szCs w:val="21"/>
                <w:highlight w:val="white"/>
              </w:rPr>
              <w:t>分；陈述不全面、不完整、不深刻、没有针对性的不得分</w:t>
            </w:r>
            <w:r>
              <w:rPr>
                <w:rFonts w:hint="eastAsia" w:ascii="宋体" w:hAnsi="宋体" w:cs="宋体"/>
                <w:sz w:val="21"/>
                <w:szCs w:val="21"/>
                <w:highlight w:val="white"/>
                <w:lang w:val="en-US" w:eastAsia="zh-CN"/>
              </w:rPr>
              <w:t>0-4</w:t>
            </w:r>
            <w:r>
              <w:rPr>
                <w:rFonts w:hint="eastAsia" w:ascii="宋体" w:hAnsi="宋体" w:eastAsia="宋体" w:cs="宋体"/>
                <w:sz w:val="21"/>
                <w:szCs w:val="21"/>
                <w:highlight w:val="white"/>
              </w:rPr>
              <w:t>。</w:t>
            </w:r>
          </w:p>
          <w:p>
            <w:pPr>
              <w:jc w:val="left"/>
              <w:rPr>
                <w:rFonts w:hint="eastAsia" w:ascii="宋体" w:hAnsi="宋体" w:eastAsia="宋体" w:cs="宋体"/>
                <w:sz w:val="21"/>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vMerge w:val="continue"/>
            <w:tcBorders>
              <w:left w:val="outset" w:color="auto" w:sz="6" w:space="0"/>
              <w:right w:val="outset" w:color="auto" w:sz="6" w:space="0"/>
            </w:tcBorders>
            <w:vAlign w:val="center"/>
          </w:tcPr>
          <w:p>
            <w:pPr>
              <w:jc w:val="center"/>
              <w:rPr>
                <w:rFonts w:hint="eastAsia" w:ascii="宋体" w:hAnsi="宋体" w:eastAsia="宋体" w:cs="宋体"/>
                <w:sz w:val="21"/>
                <w:szCs w:val="21"/>
              </w:rPr>
            </w:pPr>
          </w:p>
        </w:tc>
        <w:tc>
          <w:tcPr>
            <w:tcW w:w="1033" w:type="dxa"/>
            <w:tcBorders>
              <w:top w:val="outset" w:color="auto" w:sz="6" w:space="0"/>
              <w:left w:val="outset" w:color="auto" w:sz="6" w:space="0"/>
              <w:bottom w:val="outset" w:color="auto" w:sz="6" w:space="0"/>
              <w:right w:val="outset" w:color="auto" w:sz="6" w:space="0"/>
            </w:tcBorders>
            <w:vAlign w:val="center"/>
          </w:tcPr>
          <w:p>
            <w:pPr>
              <w:jc w:val="both"/>
              <w:rPr>
                <w:rFonts w:hint="eastAsia" w:ascii="宋体" w:hAnsi="宋体" w:eastAsia="宋体" w:cs="宋体"/>
                <w:sz w:val="21"/>
                <w:szCs w:val="21"/>
                <w:highlight w:val="white"/>
              </w:rPr>
            </w:pPr>
            <w:r>
              <w:rPr>
                <w:rFonts w:hint="eastAsia" w:ascii="宋体" w:hAnsi="宋体" w:eastAsia="宋体" w:cs="宋体"/>
                <w:sz w:val="21"/>
                <w:szCs w:val="21"/>
                <w:highlight w:val="white"/>
              </w:rPr>
              <w:t>质量控制</w:t>
            </w:r>
            <w:r>
              <w:rPr>
                <w:rFonts w:hint="eastAsia" w:ascii="宋体" w:hAnsi="宋体" w:cs="宋体"/>
                <w:sz w:val="21"/>
                <w:szCs w:val="21"/>
                <w:highlight w:val="white"/>
                <w:lang w:val="en-US" w:eastAsia="zh-CN"/>
              </w:rPr>
              <w:t>10</w:t>
            </w:r>
            <w:r>
              <w:rPr>
                <w:rFonts w:hint="eastAsia" w:ascii="宋体" w:hAnsi="宋体" w:eastAsia="宋体" w:cs="宋体"/>
                <w:sz w:val="21"/>
                <w:szCs w:val="21"/>
                <w:highlight w:val="white"/>
              </w:rPr>
              <w:t>分</w:t>
            </w:r>
          </w:p>
          <w:p>
            <w:pPr>
              <w:jc w:val="center"/>
              <w:rPr>
                <w:rFonts w:hint="eastAsia" w:ascii="宋体" w:hAnsi="宋体" w:eastAsia="宋体" w:cs="宋体"/>
                <w:sz w:val="21"/>
                <w:szCs w:val="21"/>
              </w:rPr>
            </w:pPr>
          </w:p>
        </w:tc>
        <w:tc>
          <w:tcPr>
            <w:tcW w:w="6647" w:type="dxa"/>
            <w:tcBorders>
              <w:top w:val="outset" w:color="auto" w:sz="6" w:space="0"/>
              <w:left w:val="outset" w:color="auto" w:sz="6" w:space="0"/>
              <w:bottom w:val="outset" w:color="auto" w:sz="6" w:space="0"/>
              <w:right w:val="outset" w:color="auto" w:sz="6" w:space="0"/>
            </w:tcBorders>
            <w:vAlign w:val="center"/>
          </w:tcPr>
          <w:p>
            <w:pPr>
              <w:ind w:firstLine="478" w:firstLineChars="228"/>
              <w:rPr>
                <w:rFonts w:hint="eastAsia" w:ascii="宋体" w:hAnsi="宋体" w:eastAsia="宋体" w:cs="宋体"/>
                <w:sz w:val="21"/>
                <w:szCs w:val="21"/>
                <w:highlight w:val="white"/>
              </w:rPr>
            </w:pPr>
            <w:r>
              <w:rPr>
                <w:rFonts w:hint="eastAsia" w:ascii="宋体" w:hAnsi="宋体" w:eastAsia="宋体" w:cs="宋体"/>
                <w:sz w:val="21"/>
                <w:szCs w:val="21"/>
                <w:highlight w:val="white"/>
              </w:rPr>
              <w:t>对质量控制的方法科学且有先进性的，措施全面且有针对性的，得</w:t>
            </w:r>
            <w:r>
              <w:rPr>
                <w:rFonts w:hint="eastAsia" w:ascii="宋体" w:hAnsi="宋体" w:cs="宋体"/>
                <w:sz w:val="21"/>
                <w:szCs w:val="21"/>
                <w:highlight w:val="white"/>
                <w:lang w:val="en-US" w:eastAsia="zh-CN"/>
              </w:rPr>
              <w:t>7-10</w:t>
            </w:r>
            <w:r>
              <w:rPr>
                <w:rFonts w:hint="eastAsia" w:ascii="宋体" w:hAnsi="宋体" w:eastAsia="宋体" w:cs="宋体"/>
                <w:sz w:val="21"/>
                <w:szCs w:val="21"/>
                <w:highlight w:val="white"/>
              </w:rPr>
              <w:t>分；质量控制方法合理，措施可行的，得</w:t>
            </w:r>
            <w:r>
              <w:rPr>
                <w:rFonts w:hint="eastAsia" w:ascii="宋体" w:hAnsi="宋体" w:cs="宋体"/>
                <w:sz w:val="21"/>
                <w:szCs w:val="21"/>
                <w:highlight w:val="white"/>
                <w:lang w:val="en-US" w:eastAsia="zh-CN"/>
              </w:rPr>
              <w:t>4-7</w:t>
            </w:r>
            <w:r>
              <w:rPr>
                <w:rFonts w:hint="eastAsia" w:ascii="宋体" w:hAnsi="宋体" w:eastAsia="宋体" w:cs="宋体"/>
                <w:sz w:val="21"/>
                <w:szCs w:val="21"/>
                <w:highlight w:val="white"/>
              </w:rPr>
              <w:t>分；质量控制方法一般，措施不全的，得0</w:t>
            </w:r>
            <w:r>
              <w:rPr>
                <w:rFonts w:hint="eastAsia" w:ascii="宋体" w:hAnsi="宋体" w:cs="宋体"/>
                <w:sz w:val="21"/>
                <w:szCs w:val="21"/>
                <w:highlight w:val="white"/>
                <w:lang w:val="en-US" w:eastAsia="zh-CN"/>
              </w:rPr>
              <w:t>-3</w:t>
            </w:r>
            <w:r>
              <w:rPr>
                <w:rFonts w:hint="eastAsia" w:ascii="宋体" w:hAnsi="宋体" w:eastAsia="宋体" w:cs="宋体"/>
                <w:sz w:val="21"/>
                <w:szCs w:val="21"/>
                <w:highlight w:val="white"/>
              </w:rPr>
              <w:t>分。</w:t>
            </w:r>
          </w:p>
          <w:p>
            <w:pPr>
              <w:jc w:val="left"/>
              <w:rPr>
                <w:rFonts w:hint="eastAsia" w:ascii="宋体" w:hAnsi="宋体" w:eastAsia="宋体" w:cs="宋体"/>
                <w:sz w:val="21"/>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vMerge w:val="continue"/>
            <w:tcBorders>
              <w:left w:val="outset" w:color="auto" w:sz="6" w:space="0"/>
              <w:right w:val="outset" w:color="auto" w:sz="6" w:space="0"/>
            </w:tcBorders>
            <w:vAlign w:val="center"/>
          </w:tcPr>
          <w:p>
            <w:pPr>
              <w:jc w:val="center"/>
              <w:rPr>
                <w:rFonts w:hint="eastAsia" w:ascii="宋体" w:hAnsi="宋体" w:eastAsia="宋体" w:cs="宋体"/>
                <w:sz w:val="21"/>
                <w:szCs w:val="21"/>
              </w:rPr>
            </w:pPr>
          </w:p>
        </w:tc>
        <w:tc>
          <w:tcPr>
            <w:tcW w:w="10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highlight w:val="white"/>
              </w:rPr>
              <w:t>进度控制</w:t>
            </w:r>
            <w:r>
              <w:rPr>
                <w:rFonts w:hint="eastAsia" w:ascii="宋体" w:hAnsi="宋体" w:cs="宋体"/>
                <w:sz w:val="21"/>
                <w:szCs w:val="21"/>
                <w:highlight w:val="white"/>
                <w:lang w:val="en-US" w:eastAsia="zh-CN"/>
              </w:rPr>
              <w:t>5</w:t>
            </w:r>
            <w:r>
              <w:rPr>
                <w:rFonts w:hint="eastAsia" w:ascii="宋体" w:hAnsi="宋体" w:eastAsia="宋体" w:cs="宋体"/>
                <w:sz w:val="21"/>
                <w:szCs w:val="21"/>
                <w:highlight w:val="white"/>
              </w:rPr>
              <w:t>分</w:t>
            </w:r>
          </w:p>
        </w:tc>
        <w:tc>
          <w:tcPr>
            <w:tcW w:w="6647" w:type="dxa"/>
            <w:tcBorders>
              <w:top w:val="outset" w:color="auto" w:sz="6" w:space="0"/>
              <w:left w:val="outset" w:color="auto" w:sz="6" w:space="0"/>
              <w:bottom w:val="outset" w:color="auto" w:sz="6" w:space="0"/>
              <w:right w:val="outset" w:color="auto" w:sz="6" w:space="0"/>
            </w:tcBorders>
            <w:vAlign w:val="center"/>
          </w:tcPr>
          <w:p>
            <w:pPr>
              <w:ind w:firstLine="478" w:firstLineChars="228"/>
              <w:rPr>
                <w:rFonts w:hint="eastAsia" w:ascii="宋体" w:hAnsi="宋体" w:eastAsia="宋体" w:cs="宋体"/>
                <w:sz w:val="21"/>
                <w:szCs w:val="21"/>
                <w:highlight w:val="white"/>
              </w:rPr>
            </w:pPr>
            <w:r>
              <w:rPr>
                <w:rFonts w:hint="eastAsia" w:ascii="宋体" w:hAnsi="宋体" w:eastAsia="宋体" w:cs="宋体"/>
                <w:sz w:val="21"/>
                <w:szCs w:val="21"/>
                <w:highlight w:val="white"/>
              </w:rPr>
              <w:t>对进度控制的方法科学且有先进性的，措施全面且有针对性的，得3.5</w:t>
            </w:r>
            <w:r>
              <w:rPr>
                <w:rFonts w:hint="eastAsia" w:ascii="宋体" w:hAnsi="宋体" w:cs="宋体"/>
                <w:sz w:val="21"/>
                <w:szCs w:val="21"/>
                <w:highlight w:val="white"/>
                <w:lang w:val="en-US" w:eastAsia="zh-CN"/>
              </w:rPr>
              <w:t>-</w:t>
            </w:r>
            <w:r>
              <w:rPr>
                <w:rFonts w:hint="eastAsia" w:ascii="宋体" w:hAnsi="宋体" w:eastAsia="宋体" w:cs="宋体"/>
                <w:sz w:val="21"/>
                <w:szCs w:val="21"/>
                <w:highlight w:val="white"/>
              </w:rPr>
              <w:t>5分；进度控制方法合理，措施可行的，得1.5</w:t>
            </w:r>
            <w:r>
              <w:rPr>
                <w:rFonts w:hint="eastAsia" w:ascii="宋体" w:hAnsi="宋体" w:cs="宋体"/>
                <w:sz w:val="21"/>
                <w:szCs w:val="21"/>
                <w:highlight w:val="white"/>
                <w:lang w:val="en-US" w:eastAsia="zh-CN"/>
              </w:rPr>
              <w:t>-</w:t>
            </w:r>
            <w:r>
              <w:rPr>
                <w:rFonts w:hint="eastAsia" w:ascii="宋体" w:hAnsi="宋体" w:eastAsia="宋体" w:cs="宋体"/>
                <w:sz w:val="21"/>
                <w:szCs w:val="21"/>
                <w:highlight w:val="white"/>
              </w:rPr>
              <w:t>3.5分；进度控制方法一般，措施不全的，得0</w:t>
            </w:r>
            <w:r>
              <w:rPr>
                <w:rFonts w:hint="eastAsia" w:ascii="宋体" w:hAnsi="宋体" w:cs="宋体"/>
                <w:sz w:val="21"/>
                <w:szCs w:val="21"/>
                <w:highlight w:val="white"/>
                <w:lang w:val="en-US" w:eastAsia="zh-CN"/>
              </w:rPr>
              <w:t>-</w:t>
            </w:r>
            <w:r>
              <w:rPr>
                <w:rFonts w:hint="eastAsia" w:ascii="宋体" w:hAnsi="宋体" w:eastAsia="宋体" w:cs="宋体"/>
                <w:sz w:val="21"/>
                <w:szCs w:val="21"/>
                <w:highlight w:val="white"/>
              </w:rPr>
              <w:t>1.5分。</w:t>
            </w:r>
          </w:p>
          <w:p>
            <w:pPr>
              <w:jc w:val="left"/>
              <w:rPr>
                <w:rFonts w:hint="eastAsia" w:ascii="宋体" w:hAnsi="宋体" w:eastAsia="宋体" w:cs="宋体"/>
                <w:sz w:val="21"/>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vMerge w:val="continue"/>
            <w:tcBorders>
              <w:left w:val="outset" w:color="auto" w:sz="6" w:space="0"/>
              <w:right w:val="outset" w:color="auto" w:sz="6" w:space="0"/>
            </w:tcBorders>
            <w:vAlign w:val="center"/>
          </w:tcPr>
          <w:p>
            <w:pPr>
              <w:jc w:val="center"/>
              <w:rPr>
                <w:rFonts w:hint="eastAsia" w:ascii="宋体" w:hAnsi="宋体" w:eastAsia="宋体" w:cs="宋体"/>
                <w:sz w:val="21"/>
                <w:szCs w:val="21"/>
              </w:rPr>
            </w:pPr>
          </w:p>
        </w:tc>
        <w:tc>
          <w:tcPr>
            <w:tcW w:w="10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highlight w:val="white"/>
              </w:rPr>
              <w:t>造价控制</w:t>
            </w:r>
            <w:r>
              <w:rPr>
                <w:rFonts w:hint="eastAsia" w:ascii="宋体" w:hAnsi="宋体" w:cs="宋体"/>
                <w:sz w:val="21"/>
                <w:szCs w:val="21"/>
                <w:highlight w:val="white"/>
                <w:lang w:val="en-US" w:eastAsia="zh-CN"/>
              </w:rPr>
              <w:t>6</w:t>
            </w:r>
            <w:r>
              <w:rPr>
                <w:rFonts w:hint="eastAsia" w:ascii="宋体" w:hAnsi="宋体" w:eastAsia="宋体" w:cs="宋体"/>
                <w:sz w:val="21"/>
                <w:szCs w:val="21"/>
                <w:highlight w:val="white"/>
              </w:rPr>
              <w:t>分</w:t>
            </w:r>
          </w:p>
        </w:tc>
        <w:tc>
          <w:tcPr>
            <w:tcW w:w="6647" w:type="dxa"/>
            <w:tcBorders>
              <w:top w:val="outset" w:color="auto" w:sz="6" w:space="0"/>
              <w:left w:val="outset" w:color="auto" w:sz="6" w:space="0"/>
              <w:bottom w:val="outset" w:color="auto" w:sz="6" w:space="0"/>
              <w:right w:val="outset" w:color="auto" w:sz="6" w:space="0"/>
            </w:tcBorders>
            <w:vAlign w:val="center"/>
          </w:tcPr>
          <w:p>
            <w:pPr>
              <w:ind w:firstLine="478" w:firstLineChars="228"/>
              <w:rPr>
                <w:rFonts w:hint="eastAsia" w:ascii="宋体" w:hAnsi="宋体" w:eastAsia="宋体" w:cs="宋体"/>
                <w:sz w:val="21"/>
                <w:szCs w:val="21"/>
                <w:highlight w:val="white"/>
              </w:rPr>
            </w:pPr>
            <w:r>
              <w:rPr>
                <w:rFonts w:hint="eastAsia" w:ascii="宋体" w:hAnsi="宋体" w:eastAsia="宋体" w:cs="宋体"/>
                <w:sz w:val="21"/>
                <w:szCs w:val="21"/>
                <w:highlight w:val="white"/>
              </w:rPr>
              <w:t>对造价控制的方法科学且有先进性的，措施全面且有针对性的，得</w:t>
            </w:r>
            <w:r>
              <w:rPr>
                <w:rFonts w:hint="eastAsia" w:ascii="宋体" w:hAnsi="宋体" w:cs="宋体"/>
                <w:sz w:val="21"/>
                <w:szCs w:val="21"/>
                <w:highlight w:val="white"/>
                <w:lang w:val="en-US" w:eastAsia="zh-CN"/>
              </w:rPr>
              <w:t>4.5-6</w:t>
            </w:r>
            <w:r>
              <w:rPr>
                <w:rFonts w:hint="eastAsia" w:ascii="宋体" w:hAnsi="宋体" w:eastAsia="宋体" w:cs="宋体"/>
                <w:sz w:val="21"/>
                <w:szCs w:val="21"/>
                <w:highlight w:val="white"/>
              </w:rPr>
              <w:t>分；造价控制方法合理，措施可行的，得</w:t>
            </w:r>
            <w:r>
              <w:rPr>
                <w:rFonts w:hint="eastAsia" w:ascii="宋体" w:hAnsi="宋体" w:cs="宋体"/>
                <w:sz w:val="21"/>
                <w:szCs w:val="21"/>
                <w:highlight w:val="white"/>
                <w:lang w:val="en-US" w:eastAsia="zh-CN"/>
              </w:rPr>
              <w:t>2.5-4.5</w:t>
            </w:r>
            <w:r>
              <w:rPr>
                <w:rFonts w:hint="eastAsia" w:ascii="宋体" w:hAnsi="宋体" w:eastAsia="宋体" w:cs="宋体"/>
                <w:sz w:val="21"/>
                <w:szCs w:val="21"/>
                <w:highlight w:val="white"/>
              </w:rPr>
              <w:t>分；造价控制方法一般，措施不全的，得0</w:t>
            </w:r>
            <w:r>
              <w:rPr>
                <w:rFonts w:hint="eastAsia" w:ascii="宋体" w:hAnsi="宋体" w:cs="宋体"/>
                <w:sz w:val="21"/>
                <w:szCs w:val="21"/>
                <w:highlight w:val="white"/>
                <w:lang w:val="en-US" w:eastAsia="zh-CN"/>
              </w:rPr>
              <w:t>-2.5</w:t>
            </w:r>
            <w:r>
              <w:rPr>
                <w:rFonts w:hint="eastAsia" w:ascii="宋体" w:hAnsi="宋体" w:eastAsia="宋体" w:cs="宋体"/>
                <w:sz w:val="21"/>
                <w:szCs w:val="21"/>
                <w:highlight w:val="white"/>
              </w:rPr>
              <w:t>分。</w:t>
            </w:r>
          </w:p>
          <w:p>
            <w:pPr>
              <w:jc w:val="left"/>
              <w:rPr>
                <w:rFonts w:hint="eastAsia" w:ascii="宋体" w:hAnsi="宋体" w:eastAsia="宋体" w:cs="宋体"/>
                <w:sz w:val="21"/>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vMerge w:val="continue"/>
            <w:tcBorders>
              <w:left w:val="outset" w:color="auto" w:sz="6" w:space="0"/>
              <w:right w:val="outset" w:color="auto" w:sz="6" w:space="0"/>
            </w:tcBorders>
            <w:vAlign w:val="center"/>
          </w:tcPr>
          <w:p>
            <w:pPr>
              <w:jc w:val="center"/>
              <w:rPr>
                <w:rFonts w:hint="eastAsia" w:ascii="宋体" w:hAnsi="宋体" w:eastAsia="宋体" w:cs="宋体"/>
                <w:sz w:val="21"/>
                <w:szCs w:val="21"/>
              </w:rPr>
            </w:pPr>
          </w:p>
        </w:tc>
        <w:tc>
          <w:tcPr>
            <w:tcW w:w="10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highlight w:val="white"/>
              </w:rPr>
              <w:t>合同和信息管理</w:t>
            </w:r>
            <w:r>
              <w:rPr>
                <w:rFonts w:hint="eastAsia" w:ascii="宋体" w:hAnsi="宋体" w:cs="宋体"/>
                <w:sz w:val="21"/>
                <w:szCs w:val="21"/>
                <w:highlight w:val="white"/>
                <w:lang w:val="en-US" w:eastAsia="zh-CN"/>
              </w:rPr>
              <w:t>6</w:t>
            </w:r>
            <w:r>
              <w:rPr>
                <w:rFonts w:hint="eastAsia" w:ascii="宋体" w:hAnsi="宋体" w:eastAsia="宋体" w:cs="宋体"/>
                <w:sz w:val="21"/>
                <w:szCs w:val="21"/>
                <w:highlight w:val="white"/>
              </w:rPr>
              <w:t>分</w:t>
            </w:r>
          </w:p>
        </w:tc>
        <w:tc>
          <w:tcPr>
            <w:tcW w:w="6647" w:type="dxa"/>
            <w:tcBorders>
              <w:top w:val="outset" w:color="auto" w:sz="6" w:space="0"/>
              <w:left w:val="outset" w:color="auto" w:sz="6" w:space="0"/>
              <w:bottom w:val="outset" w:color="auto" w:sz="6" w:space="0"/>
              <w:right w:val="outset" w:color="auto" w:sz="6" w:space="0"/>
            </w:tcBorders>
            <w:vAlign w:val="center"/>
          </w:tcPr>
          <w:p>
            <w:pPr>
              <w:ind w:firstLine="478" w:firstLineChars="228"/>
              <w:rPr>
                <w:rFonts w:hint="eastAsia" w:ascii="宋体" w:hAnsi="宋体" w:eastAsia="宋体" w:cs="宋体"/>
                <w:sz w:val="21"/>
                <w:szCs w:val="21"/>
                <w:highlight w:val="white"/>
              </w:rPr>
            </w:pPr>
            <w:r>
              <w:rPr>
                <w:rFonts w:hint="eastAsia" w:ascii="宋体" w:hAnsi="宋体" w:eastAsia="宋体" w:cs="宋体"/>
                <w:sz w:val="21"/>
                <w:szCs w:val="21"/>
                <w:highlight w:val="white"/>
              </w:rPr>
              <w:t>对合同和信息管理的方法科学且有先进性的，措施全面且有针对性的，得</w:t>
            </w:r>
            <w:r>
              <w:rPr>
                <w:rFonts w:hint="eastAsia" w:ascii="宋体" w:hAnsi="宋体" w:cs="宋体"/>
                <w:sz w:val="21"/>
                <w:szCs w:val="21"/>
                <w:highlight w:val="white"/>
                <w:lang w:val="en-US" w:eastAsia="zh-CN"/>
              </w:rPr>
              <w:t>4.5-6</w:t>
            </w:r>
            <w:r>
              <w:rPr>
                <w:rFonts w:hint="eastAsia" w:ascii="宋体" w:hAnsi="宋体" w:eastAsia="宋体" w:cs="宋体"/>
                <w:sz w:val="21"/>
                <w:szCs w:val="21"/>
                <w:highlight w:val="white"/>
              </w:rPr>
              <w:t>分；合同和信息管理方法合理，措施可行的，得</w:t>
            </w:r>
            <w:r>
              <w:rPr>
                <w:rFonts w:hint="eastAsia" w:ascii="宋体" w:hAnsi="宋体" w:cs="宋体"/>
                <w:sz w:val="21"/>
                <w:szCs w:val="21"/>
                <w:highlight w:val="white"/>
                <w:lang w:val="en-US" w:eastAsia="zh-CN"/>
              </w:rPr>
              <w:t>2.5-4.5</w:t>
            </w:r>
            <w:r>
              <w:rPr>
                <w:rFonts w:hint="eastAsia" w:ascii="宋体" w:hAnsi="宋体" w:eastAsia="宋体" w:cs="宋体"/>
                <w:sz w:val="21"/>
                <w:szCs w:val="21"/>
                <w:highlight w:val="white"/>
              </w:rPr>
              <w:t>分；合同和信息管理方法一般，措施不全的，得0</w:t>
            </w:r>
            <w:r>
              <w:rPr>
                <w:rFonts w:hint="eastAsia" w:ascii="宋体" w:hAnsi="宋体" w:cs="宋体"/>
                <w:sz w:val="21"/>
                <w:szCs w:val="21"/>
                <w:highlight w:val="white"/>
                <w:lang w:val="en-US" w:eastAsia="zh-CN"/>
              </w:rPr>
              <w:t>-2.5</w:t>
            </w:r>
            <w:r>
              <w:rPr>
                <w:rFonts w:hint="eastAsia" w:ascii="宋体" w:hAnsi="宋体" w:eastAsia="宋体" w:cs="宋体"/>
                <w:sz w:val="21"/>
                <w:szCs w:val="21"/>
                <w:highlight w:val="white"/>
              </w:rPr>
              <w:t>分。</w:t>
            </w:r>
          </w:p>
          <w:p>
            <w:pPr>
              <w:jc w:val="left"/>
              <w:rPr>
                <w:rFonts w:hint="eastAsia" w:ascii="宋体" w:hAnsi="宋体" w:eastAsia="宋体" w:cs="宋体"/>
                <w:sz w:val="21"/>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vMerge w:val="continue"/>
            <w:tcBorders>
              <w:left w:val="outset" w:color="auto" w:sz="6" w:space="0"/>
              <w:right w:val="outset" w:color="auto" w:sz="6" w:space="0"/>
            </w:tcBorders>
            <w:vAlign w:val="center"/>
          </w:tcPr>
          <w:p>
            <w:pPr>
              <w:jc w:val="center"/>
              <w:rPr>
                <w:rFonts w:hint="eastAsia" w:ascii="宋体" w:hAnsi="宋体" w:eastAsia="宋体" w:cs="宋体"/>
                <w:sz w:val="21"/>
                <w:szCs w:val="21"/>
              </w:rPr>
            </w:pPr>
          </w:p>
        </w:tc>
        <w:tc>
          <w:tcPr>
            <w:tcW w:w="10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highlight w:val="white"/>
              </w:rPr>
              <w:t>文明施工管理</w:t>
            </w:r>
            <w:r>
              <w:rPr>
                <w:rFonts w:hint="eastAsia" w:ascii="宋体" w:hAnsi="宋体" w:cs="宋体"/>
                <w:sz w:val="21"/>
                <w:szCs w:val="21"/>
                <w:highlight w:val="white"/>
                <w:lang w:val="en-US" w:eastAsia="zh-CN"/>
              </w:rPr>
              <w:t>6</w:t>
            </w:r>
            <w:r>
              <w:rPr>
                <w:rFonts w:hint="eastAsia" w:ascii="宋体" w:hAnsi="宋体" w:eastAsia="宋体" w:cs="宋体"/>
                <w:sz w:val="21"/>
                <w:szCs w:val="21"/>
                <w:highlight w:val="white"/>
              </w:rPr>
              <w:t>分</w:t>
            </w:r>
          </w:p>
        </w:tc>
        <w:tc>
          <w:tcPr>
            <w:tcW w:w="6647" w:type="dxa"/>
            <w:tcBorders>
              <w:top w:val="outset" w:color="auto" w:sz="6" w:space="0"/>
              <w:left w:val="outset" w:color="auto" w:sz="6" w:space="0"/>
              <w:bottom w:val="outset" w:color="auto" w:sz="6" w:space="0"/>
              <w:right w:val="outset" w:color="auto" w:sz="6" w:space="0"/>
            </w:tcBorders>
            <w:vAlign w:val="center"/>
          </w:tcPr>
          <w:p>
            <w:pPr>
              <w:ind w:firstLine="478" w:firstLineChars="228"/>
              <w:rPr>
                <w:rFonts w:hint="eastAsia" w:ascii="宋体" w:hAnsi="宋体" w:eastAsia="宋体" w:cs="宋体"/>
                <w:sz w:val="21"/>
                <w:szCs w:val="21"/>
                <w:highlight w:val="white"/>
              </w:rPr>
            </w:pPr>
            <w:r>
              <w:rPr>
                <w:rFonts w:hint="eastAsia" w:ascii="宋体" w:hAnsi="宋体" w:eastAsia="宋体" w:cs="宋体"/>
                <w:sz w:val="21"/>
                <w:szCs w:val="21"/>
                <w:highlight w:val="white"/>
              </w:rPr>
              <w:t>对文明施工管理的方法科学且有先进性的，措施全面且有针对性的，得</w:t>
            </w:r>
            <w:r>
              <w:rPr>
                <w:rFonts w:hint="eastAsia" w:ascii="宋体" w:hAnsi="宋体" w:cs="宋体"/>
                <w:sz w:val="21"/>
                <w:szCs w:val="21"/>
                <w:highlight w:val="white"/>
                <w:lang w:val="en-US" w:eastAsia="zh-CN"/>
              </w:rPr>
              <w:t>4.5-6</w:t>
            </w:r>
            <w:r>
              <w:rPr>
                <w:rFonts w:hint="eastAsia" w:ascii="宋体" w:hAnsi="宋体" w:eastAsia="宋体" w:cs="宋体"/>
                <w:sz w:val="21"/>
                <w:szCs w:val="21"/>
                <w:highlight w:val="white"/>
              </w:rPr>
              <w:t>分；文明施工管理方法合理，措施可行的，得</w:t>
            </w:r>
            <w:r>
              <w:rPr>
                <w:rFonts w:hint="eastAsia" w:ascii="宋体" w:hAnsi="宋体" w:cs="宋体"/>
                <w:sz w:val="21"/>
                <w:szCs w:val="21"/>
                <w:highlight w:val="white"/>
                <w:lang w:val="en-US" w:eastAsia="zh-CN"/>
              </w:rPr>
              <w:t>2.5-4.5</w:t>
            </w:r>
            <w:r>
              <w:rPr>
                <w:rFonts w:hint="eastAsia" w:ascii="宋体" w:hAnsi="宋体" w:eastAsia="宋体" w:cs="宋体"/>
                <w:sz w:val="21"/>
                <w:szCs w:val="21"/>
                <w:highlight w:val="white"/>
              </w:rPr>
              <w:t>分；文明施工管理方法一般，措施不全的，得0</w:t>
            </w:r>
            <w:r>
              <w:rPr>
                <w:rFonts w:hint="eastAsia" w:ascii="宋体" w:hAnsi="宋体" w:cs="宋体"/>
                <w:sz w:val="21"/>
                <w:szCs w:val="21"/>
                <w:highlight w:val="white"/>
                <w:lang w:val="en-US" w:eastAsia="zh-CN"/>
              </w:rPr>
              <w:t>-2.5</w:t>
            </w:r>
            <w:r>
              <w:rPr>
                <w:rFonts w:hint="eastAsia" w:ascii="宋体" w:hAnsi="宋体" w:eastAsia="宋体" w:cs="宋体"/>
                <w:sz w:val="21"/>
                <w:szCs w:val="21"/>
                <w:highlight w:val="white"/>
              </w:rPr>
              <w:t>分。</w:t>
            </w:r>
          </w:p>
          <w:p>
            <w:pPr>
              <w:jc w:val="left"/>
              <w:rPr>
                <w:rFonts w:hint="eastAsia" w:ascii="宋体" w:hAnsi="宋体" w:eastAsia="宋体" w:cs="宋体"/>
                <w:sz w:val="21"/>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vMerge w:val="continue"/>
            <w:tcBorders>
              <w:left w:val="outset" w:color="auto" w:sz="6" w:space="0"/>
              <w:right w:val="outset" w:color="auto" w:sz="6" w:space="0"/>
            </w:tcBorders>
            <w:vAlign w:val="center"/>
          </w:tcPr>
          <w:p>
            <w:pPr>
              <w:jc w:val="center"/>
              <w:rPr>
                <w:rFonts w:hint="eastAsia" w:ascii="宋体" w:hAnsi="宋体" w:eastAsia="宋体" w:cs="宋体"/>
                <w:sz w:val="21"/>
                <w:szCs w:val="21"/>
              </w:rPr>
            </w:pPr>
          </w:p>
        </w:tc>
        <w:tc>
          <w:tcPr>
            <w:tcW w:w="10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highlight w:val="white"/>
              </w:rPr>
            </w:pPr>
            <w:r>
              <w:rPr>
                <w:rFonts w:hint="eastAsia" w:ascii="宋体" w:hAnsi="宋体" w:eastAsia="宋体" w:cs="宋体"/>
                <w:sz w:val="21"/>
                <w:szCs w:val="21"/>
                <w:highlight w:val="white"/>
              </w:rPr>
              <w:t>安全生产管理</w:t>
            </w:r>
            <w:r>
              <w:rPr>
                <w:rFonts w:hint="eastAsia" w:ascii="宋体" w:hAnsi="宋体" w:cs="宋体"/>
                <w:sz w:val="21"/>
                <w:szCs w:val="21"/>
                <w:highlight w:val="white"/>
                <w:lang w:val="en-US" w:eastAsia="zh-CN"/>
              </w:rPr>
              <w:t>7</w:t>
            </w:r>
            <w:r>
              <w:rPr>
                <w:rFonts w:hint="eastAsia" w:ascii="宋体" w:hAnsi="宋体" w:eastAsia="宋体" w:cs="宋体"/>
                <w:sz w:val="21"/>
                <w:szCs w:val="21"/>
                <w:highlight w:val="white"/>
              </w:rPr>
              <w:t>分</w:t>
            </w:r>
          </w:p>
        </w:tc>
        <w:tc>
          <w:tcPr>
            <w:tcW w:w="6647" w:type="dxa"/>
            <w:tcBorders>
              <w:top w:val="outset" w:color="auto" w:sz="6" w:space="0"/>
              <w:left w:val="outset" w:color="auto" w:sz="6" w:space="0"/>
              <w:bottom w:val="outset" w:color="auto" w:sz="6" w:space="0"/>
              <w:right w:val="outset" w:color="auto" w:sz="6"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highlight w:val="white"/>
              </w:rPr>
              <w:t>对安全生产管理的方法科学且有先进性的，措施全面且有针对性的，得</w:t>
            </w:r>
            <w:r>
              <w:rPr>
                <w:rFonts w:hint="eastAsia" w:ascii="宋体" w:hAnsi="宋体" w:cs="宋体"/>
                <w:sz w:val="21"/>
                <w:szCs w:val="21"/>
                <w:highlight w:val="white"/>
                <w:lang w:val="en-US" w:eastAsia="zh-CN"/>
              </w:rPr>
              <w:t>5-7</w:t>
            </w:r>
            <w:r>
              <w:rPr>
                <w:rFonts w:hint="eastAsia" w:ascii="宋体" w:hAnsi="宋体" w:eastAsia="宋体" w:cs="宋体"/>
                <w:sz w:val="21"/>
                <w:szCs w:val="21"/>
                <w:highlight w:val="white"/>
              </w:rPr>
              <w:t>分；安全生产管理方法合理，措施可行的，得</w:t>
            </w:r>
            <w:r>
              <w:rPr>
                <w:rFonts w:hint="eastAsia" w:ascii="宋体" w:hAnsi="宋体" w:cs="宋体"/>
                <w:sz w:val="21"/>
                <w:szCs w:val="21"/>
                <w:highlight w:val="white"/>
                <w:lang w:val="en-US" w:eastAsia="zh-CN"/>
              </w:rPr>
              <w:t>3-5</w:t>
            </w:r>
            <w:r>
              <w:rPr>
                <w:rFonts w:hint="eastAsia" w:ascii="宋体" w:hAnsi="宋体" w:eastAsia="宋体" w:cs="宋体"/>
                <w:sz w:val="21"/>
                <w:szCs w:val="21"/>
                <w:highlight w:val="white"/>
              </w:rPr>
              <w:t>分；安全生产管理方法一般，措施不全的，得0</w:t>
            </w:r>
            <w:r>
              <w:rPr>
                <w:rFonts w:hint="eastAsia" w:ascii="宋体" w:hAnsi="宋体" w:cs="宋体"/>
                <w:sz w:val="21"/>
                <w:szCs w:val="21"/>
                <w:highlight w:val="white"/>
                <w:lang w:val="en-US" w:eastAsia="zh-CN"/>
              </w:rPr>
              <w:t>-3</w:t>
            </w:r>
            <w:r>
              <w:rPr>
                <w:rFonts w:hint="eastAsia" w:ascii="宋体" w:hAnsi="宋体" w:eastAsia="宋体" w:cs="宋体"/>
                <w:sz w:val="21"/>
                <w:szCs w:val="21"/>
                <w:highlight w:val="whit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81" w:type="dxa"/>
            <w:vMerge w:val="continue"/>
            <w:tcBorders>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rPr>
            </w:pPr>
          </w:p>
        </w:tc>
        <w:tc>
          <w:tcPr>
            <w:tcW w:w="10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sz w:val="21"/>
                <w:szCs w:val="21"/>
                <w:highlight w:val="white"/>
              </w:rPr>
            </w:pPr>
            <w:r>
              <w:rPr>
                <w:rFonts w:hint="eastAsia" w:ascii="宋体" w:hAnsi="宋体" w:eastAsia="宋体" w:cs="宋体"/>
                <w:sz w:val="21"/>
                <w:szCs w:val="21"/>
                <w:highlight w:val="white"/>
              </w:rPr>
              <w:t>关键工序控制</w:t>
            </w:r>
            <w:r>
              <w:rPr>
                <w:rFonts w:hint="eastAsia" w:ascii="宋体" w:hAnsi="宋体" w:cs="宋体"/>
                <w:sz w:val="21"/>
                <w:szCs w:val="21"/>
                <w:highlight w:val="white"/>
                <w:lang w:val="en-US" w:eastAsia="zh-CN"/>
              </w:rPr>
              <w:t>10</w:t>
            </w:r>
            <w:r>
              <w:rPr>
                <w:rFonts w:hint="eastAsia" w:ascii="宋体" w:hAnsi="宋体" w:eastAsia="宋体" w:cs="宋体"/>
                <w:sz w:val="21"/>
                <w:szCs w:val="21"/>
                <w:highlight w:val="white"/>
              </w:rPr>
              <w:t>分</w:t>
            </w:r>
          </w:p>
        </w:tc>
        <w:tc>
          <w:tcPr>
            <w:tcW w:w="6647" w:type="dxa"/>
            <w:tcBorders>
              <w:top w:val="outset" w:color="auto" w:sz="6" w:space="0"/>
              <w:left w:val="outset" w:color="auto" w:sz="6" w:space="0"/>
              <w:bottom w:val="outset" w:color="auto" w:sz="6" w:space="0"/>
              <w:right w:val="outset" w:color="auto" w:sz="6"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highlight w:val="white"/>
              </w:rPr>
              <w:t>对工程的关键工序认识清晰，对工程关键工序的监理方法科学且有先进性的，措施全面且有针对性的，得</w:t>
            </w:r>
            <w:r>
              <w:rPr>
                <w:rFonts w:hint="eastAsia" w:ascii="宋体" w:hAnsi="宋体" w:cs="宋体"/>
                <w:sz w:val="21"/>
                <w:szCs w:val="21"/>
                <w:highlight w:val="white"/>
                <w:lang w:val="en-US" w:eastAsia="zh-CN"/>
              </w:rPr>
              <w:t>7-10</w:t>
            </w:r>
            <w:r>
              <w:rPr>
                <w:rFonts w:hint="eastAsia" w:ascii="宋体" w:hAnsi="宋体" w:eastAsia="宋体" w:cs="宋体"/>
                <w:sz w:val="21"/>
                <w:szCs w:val="21"/>
                <w:highlight w:val="white"/>
              </w:rPr>
              <w:t>分；关键工序监理方法合理，措施可行的，得</w:t>
            </w:r>
            <w:r>
              <w:rPr>
                <w:rFonts w:hint="eastAsia" w:ascii="宋体" w:hAnsi="宋体" w:cs="宋体"/>
                <w:sz w:val="21"/>
                <w:szCs w:val="21"/>
                <w:highlight w:val="white"/>
                <w:lang w:val="en-US" w:eastAsia="zh-CN"/>
              </w:rPr>
              <w:t>4-7</w:t>
            </w:r>
            <w:r>
              <w:rPr>
                <w:rFonts w:hint="eastAsia" w:ascii="宋体" w:hAnsi="宋体" w:eastAsia="宋体" w:cs="宋体"/>
                <w:sz w:val="21"/>
                <w:szCs w:val="21"/>
                <w:highlight w:val="white"/>
              </w:rPr>
              <w:t>分；关键工序监理方法一般，措施不全的，得0</w:t>
            </w:r>
            <w:r>
              <w:rPr>
                <w:rFonts w:hint="eastAsia" w:ascii="宋体" w:hAnsi="宋体" w:cs="宋体"/>
                <w:sz w:val="21"/>
                <w:szCs w:val="21"/>
                <w:highlight w:val="white"/>
                <w:lang w:val="en-US" w:eastAsia="zh-CN"/>
              </w:rPr>
              <w:t>-7</w:t>
            </w:r>
            <w:r>
              <w:rPr>
                <w:rFonts w:hint="eastAsia" w:ascii="宋体" w:hAnsi="宋体" w:eastAsia="宋体" w:cs="宋体"/>
                <w:sz w:val="21"/>
                <w:szCs w:val="21"/>
                <w:highlight w:val="white"/>
              </w:rPr>
              <w:t>分。</w:t>
            </w:r>
          </w:p>
        </w:tc>
      </w:tr>
    </w:tbl>
    <w:p>
      <w:pPr>
        <w:widowControl/>
        <w:spacing w:line="440" w:lineRule="exact"/>
        <w:ind w:right="34" w:firstLine="470" w:firstLineChars="196"/>
        <w:jc w:val="left"/>
        <w:rPr>
          <w:rFonts w:ascii="宋体"/>
          <w:kern w:val="0"/>
          <w:sz w:val="24"/>
          <w:szCs w:val="24"/>
        </w:rPr>
      </w:pPr>
    </w:p>
    <w:p>
      <w:pPr>
        <w:widowControl/>
        <w:spacing w:line="440" w:lineRule="exact"/>
        <w:ind w:right="34" w:firstLine="420"/>
        <w:jc w:val="left"/>
        <w:outlineLvl w:val="0"/>
        <w:rPr>
          <w:rFonts w:ascii="宋体"/>
          <w:b/>
          <w:bCs/>
          <w:kern w:val="0"/>
          <w:sz w:val="24"/>
          <w:szCs w:val="24"/>
        </w:rPr>
      </w:pPr>
      <w:r>
        <w:rPr>
          <w:rFonts w:hint="eastAsia" w:ascii="宋体" w:hAnsi="宋体" w:cs="宋体"/>
          <w:b/>
          <w:bCs/>
          <w:kern w:val="0"/>
          <w:sz w:val="24"/>
          <w:szCs w:val="24"/>
        </w:rPr>
        <w:t>（三）确定成交单位</w:t>
      </w:r>
    </w:p>
    <w:p>
      <w:pPr>
        <w:widowControl/>
        <w:spacing w:line="440" w:lineRule="exact"/>
        <w:ind w:right="34" w:firstLine="470" w:firstLineChars="196"/>
        <w:jc w:val="left"/>
        <w:rPr>
          <w:rFonts w:ascii="宋体"/>
          <w:sz w:val="24"/>
          <w:szCs w:val="24"/>
        </w:rPr>
      </w:pPr>
      <w:r>
        <w:rPr>
          <w:rFonts w:hint="eastAsia" w:ascii="宋体" w:hAnsi="宋体" w:cs="宋体"/>
          <w:sz w:val="24"/>
          <w:szCs w:val="24"/>
        </w:rPr>
        <w:t>磋商小组将合格投标供应商的最终评审得分由高到低排出成交候选顺序。</w:t>
      </w:r>
    </w:p>
    <w:p>
      <w:pPr>
        <w:widowControl/>
        <w:spacing w:line="440" w:lineRule="exact"/>
        <w:ind w:right="34" w:firstLine="470" w:firstLineChars="196"/>
        <w:jc w:val="left"/>
        <w:rPr>
          <w:rFonts w:ascii="宋体"/>
          <w:sz w:val="24"/>
          <w:szCs w:val="24"/>
        </w:rPr>
      </w:pPr>
      <w:r>
        <w:rPr>
          <w:rFonts w:hint="eastAsia" w:ascii="宋体" w:hAnsi="宋体" w:cs="宋体"/>
          <w:sz w:val="24"/>
          <w:szCs w:val="24"/>
        </w:rPr>
        <w:t>招标代理机构不公布得分，对投标供应商得分情况不做任何解释。</w:t>
      </w:r>
    </w:p>
    <w:p>
      <w:pPr>
        <w:widowControl/>
        <w:spacing w:line="440" w:lineRule="exact"/>
        <w:ind w:right="34" w:firstLine="470" w:firstLineChars="196"/>
        <w:jc w:val="left"/>
        <w:rPr>
          <w:rFonts w:ascii="宋体"/>
          <w:sz w:val="24"/>
          <w:szCs w:val="24"/>
        </w:rPr>
      </w:pPr>
      <w:r>
        <w:rPr>
          <w:rFonts w:hint="eastAsia" w:ascii="宋体" w:hAnsi="宋体" w:cs="宋体"/>
          <w:sz w:val="24"/>
          <w:szCs w:val="24"/>
        </w:rPr>
        <w:t>最终评审得分出现两家或两家以上相同者，经摇号确定最终排名。</w:t>
      </w:r>
    </w:p>
    <w:p>
      <w:pPr>
        <w:rPr>
          <w:sz w:val="20"/>
          <w:szCs w:val="20"/>
        </w:rPr>
      </w:pPr>
    </w:p>
    <w:p>
      <w:pPr>
        <w:widowControl/>
        <w:spacing w:line="440" w:lineRule="exact"/>
        <w:ind w:right="34"/>
        <w:jc w:val="left"/>
        <w:rPr>
          <w:rFonts w:ascii="宋体"/>
          <w:kern w:val="0"/>
          <w:sz w:val="22"/>
          <w:szCs w:val="22"/>
        </w:rPr>
      </w:pPr>
      <w:r>
        <w:rPr>
          <w:rFonts w:ascii="宋体" w:hAnsi="宋体" w:cs="宋体"/>
          <w:kern w:val="0"/>
          <w:sz w:val="22"/>
          <w:szCs w:val="22"/>
        </w:rPr>
        <w:t xml:space="preserve"> </w:t>
      </w:r>
    </w:p>
    <w:p>
      <w:pPr>
        <w:autoSpaceDE w:val="0"/>
        <w:autoSpaceDN w:val="0"/>
        <w:adjustRightInd w:val="0"/>
        <w:spacing w:line="440" w:lineRule="exact"/>
        <w:jc w:val="center"/>
        <w:rPr>
          <w:rFonts w:ascii="宋体"/>
          <w:b/>
          <w:bCs/>
          <w:sz w:val="28"/>
          <w:szCs w:val="28"/>
        </w:rPr>
      </w:pPr>
    </w:p>
    <w:p>
      <w:pPr>
        <w:widowControl/>
        <w:outlineLvl w:val="0"/>
        <w:rPr>
          <w:rFonts w:ascii="宋体"/>
          <w:b/>
          <w:bCs/>
          <w:sz w:val="28"/>
          <w:szCs w:val="28"/>
        </w:rPr>
      </w:pPr>
      <w:r>
        <w:rPr>
          <w:rFonts w:hint="eastAsia" w:ascii="宋体" w:hAnsi="宋体" w:cs="宋体"/>
          <w:b/>
          <w:bCs/>
          <w:sz w:val="28"/>
          <w:szCs w:val="28"/>
        </w:rPr>
        <w:t>五、响应文件要求及格式</w:t>
      </w:r>
    </w:p>
    <w:p>
      <w:pPr>
        <w:spacing w:line="240" w:lineRule="atLeast"/>
        <w:rPr>
          <w:rFonts w:ascii="宋体"/>
          <w:b/>
          <w:bCs/>
          <w:sz w:val="24"/>
          <w:szCs w:val="24"/>
        </w:rPr>
      </w:pPr>
      <w:r>
        <w:rPr>
          <w:rFonts w:hint="eastAsia" w:ascii="宋体" w:hAnsi="宋体" w:cs="宋体"/>
          <w:sz w:val="24"/>
          <w:szCs w:val="24"/>
        </w:rPr>
        <w:t>封面格式：</w:t>
      </w:r>
    </w:p>
    <w:p>
      <w:pPr>
        <w:spacing w:after="156" w:afterLines="50" w:line="500" w:lineRule="exact"/>
        <w:jc w:val="center"/>
        <w:rPr>
          <w:rFonts w:hint="eastAsia" w:ascii="宋体" w:eastAsia="宋体"/>
          <w:b/>
          <w:bCs/>
          <w:sz w:val="28"/>
          <w:szCs w:val="28"/>
          <w:lang w:eastAsia="zh-CN"/>
        </w:rPr>
      </w:pPr>
      <w:r>
        <w:rPr>
          <w:rFonts w:hint="eastAsia" w:ascii="宋体" w:hAnsi="宋体" w:cs="宋体"/>
          <w:b/>
          <w:bCs/>
          <w:sz w:val="28"/>
          <w:szCs w:val="28"/>
          <w:lang w:eastAsia="zh-CN"/>
        </w:rPr>
        <w:t>芜湖市院前急救体系能力提升120急救终端设备建设采购监理项目</w:t>
      </w:r>
    </w:p>
    <w:p>
      <w:pPr>
        <w:spacing w:line="900" w:lineRule="exact"/>
        <w:jc w:val="center"/>
        <w:rPr>
          <w:rFonts w:ascii="宋体"/>
          <w:b/>
          <w:bCs/>
          <w:sz w:val="56"/>
          <w:szCs w:val="56"/>
        </w:rPr>
      </w:pPr>
      <w:r>
        <w:rPr>
          <w:rFonts w:hint="eastAsia" w:ascii="宋体" w:hAnsi="宋体" w:cs="宋体"/>
          <w:b/>
          <w:bCs/>
          <w:sz w:val="56"/>
          <w:szCs w:val="56"/>
        </w:rPr>
        <w:t>响</w:t>
      </w:r>
    </w:p>
    <w:p>
      <w:pPr>
        <w:spacing w:line="900" w:lineRule="exact"/>
        <w:jc w:val="center"/>
        <w:rPr>
          <w:rFonts w:ascii="宋体"/>
          <w:b/>
          <w:bCs/>
          <w:sz w:val="56"/>
          <w:szCs w:val="56"/>
        </w:rPr>
      </w:pPr>
    </w:p>
    <w:p>
      <w:pPr>
        <w:spacing w:line="900" w:lineRule="exact"/>
        <w:jc w:val="center"/>
        <w:rPr>
          <w:rFonts w:ascii="宋体"/>
          <w:b/>
          <w:bCs/>
          <w:sz w:val="56"/>
          <w:szCs w:val="56"/>
        </w:rPr>
      </w:pPr>
      <w:r>
        <w:rPr>
          <w:rFonts w:hint="eastAsia" w:ascii="宋体" w:hAnsi="宋体" w:cs="宋体"/>
          <w:b/>
          <w:bCs/>
          <w:sz w:val="56"/>
          <w:szCs w:val="56"/>
        </w:rPr>
        <w:t>应</w:t>
      </w:r>
    </w:p>
    <w:p>
      <w:pPr>
        <w:spacing w:line="900" w:lineRule="exact"/>
        <w:jc w:val="center"/>
        <w:rPr>
          <w:rFonts w:ascii="宋体"/>
          <w:b/>
          <w:bCs/>
          <w:sz w:val="56"/>
          <w:szCs w:val="56"/>
        </w:rPr>
      </w:pPr>
    </w:p>
    <w:p>
      <w:pPr>
        <w:spacing w:line="900" w:lineRule="exact"/>
        <w:jc w:val="center"/>
        <w:rPr>
          <w:rFonts w:ascii="宋体"/>
          <w:b/>
          <w:bCs/>
          <w:sz w:val="56"/>
          <w:szCs w:val="56"/>
        </w:rPr>
      </w:pPr>
      <w:r>
        <w:rPr>
          <w:rFonts w:hint="eastAsia" w:ascii="宋体" w:hAnsi="宋体" w:cs="宋体"/>
          <w:b/>
          <w:bCs/>
          <w:sz w:val="56"/>
          <w:szCs w:val="56"/>
        </w:rPr>
        <w:t>文</w:t>
      </w:r>
    </w:p>
    <w:p>
      <w:pPr>
        <w:spacing w:line="900" w:lineRule="exact"/>
        <w:jc w:val="center"/>
        <w:rPr>
          <w:rFonts w:ascii="宋体"/>
          <w:b/>
          <w:bCs/>
          <w:sz w:val="56"/>
          <w:szCs w:val="56"/>
        </w:rPr>
      </w:pPr>
    </w:p>
    <w:p>
      <w:pPr>
        <w:jc w:val="center"/>
        <w:rPr>
          <w:rFonts w:ascii="宋体"/>
          <w:b/>
          <w:bCs/>
          <w:sz w:val="56"/>
          <w:szCs w:val="56"/>
        </w:rPr>
      </w:pPr>
      <w:r>
        <w:rPr>
          <w:rFonts w:hint="eastAsia" w:ascii="宋体" w:hAnsi="宋体" w:cs="宋体"/>
          <w:b/>
          <w:bCs/>
          <w:sz w:val="56"/>
          <w:szCs w:val="56"/>
        </w:rPr>
        <w:t>件</w:t>
      </w:r>
    </w:p>
    <w:p>
      <w:pPr>
        <w:spacing w:after="156" w:afterLines="50" w:line="500" w:lineRule="exact"/>
        <w:jc w:val="center"/>
        <w:rPr>
          <w:rFonts w:ascii="宋体"/>
          <w:b/>
          <w:bCs/>
          <w:sz w:val="56"/>
          <w:szCs w:val="56"/>
        </w:rPr>
      </w:pPr>
    </w:p>
    <w:p>
      <w:pPr>
        <w:spacing w:line="520" w:lineRule="exact"/>
        <w:ind w:firstLine="1080" w:firstLineChars="450"/>
        <w:rPr>
          <w:rFonts w:ascii="宋体"/>
          <w:sz w:val="24"/>
          <w:szCs w:val="24"/>
        </w:rPr>
      </w:pPr>
      <w:r>
        <w:rPr>
          <w:rFonts w:hint="eastAsia" w:ascii="宋体" w:hAnsi="宋体" w:cs="宋体"/>
          <w:sz w:val="24"/>
          <w:szCs w:val="24"/>
        </w:rPr>
        <w:t>投标供应商（盖章）：</w:t>
      </w:r>
    </w:p>
    <w:p>
      <w:pPr>
        <w:spacing w:line="520" w:lineRule="exact"/>
        <w:ind w:firstLine="1080" w:firstLineChars="450"/>
        <w:rPr>
          <w:rFonts w:ascii="宋体"/>
          <w:sz w:val="24"/>
          <w:szCs w:val="24"/>
        </w:rPr>
      </w:pPr>
      <w:r>
        <w:rPr>
          <w:rFonts w:hint="eastAsia" w:ascii="宋体" w:hAnsi="宋体" w:cs="宋体"/>
          <w:sz w:val="24"/>
          <w:szCs w:val="24"/>
        </w:rPr>
        <w:t>投标供应商地址：</w:t>
      </w:r>
    </w:p>
    <w:p>
      <w:pPr>
        <w:spacing w:line="520" w:lineRule="exact"/>
        <w:ind w:firstLine="1080" w:firstLineChars="450"/>
        <w:rPr>
          <w:rFonts w:ascii="宋体"/>
          <w:sz w:val="24"/>
          <w:szCs w:val="24"/>
          <w:u w:val="single"/>
        </w:rPr>
      </w:pPr>
      <w:r>
        <w:rPr>
          <w:rFonts w:hint="eastAsia" w:ascii="宋体" w:hAnsi="宋体" w:cs="宋体"/>
          <w:sz w:val="24"/>
          <w:szCs w:val="24"/>
        </w:rPr>
        <w:t>联</w:t>
      </w:r>
      <w:r>
        <w:rPr>
          <w:rFonts w:ascii="宋体" w:hAnsi="宋体" w:cs="宋体"/>
          <w:sz w:val="24"/>
          <w:szCs w:val="24"/>
        </w:rPr>
        <w:t xml:space="preserve">  </w:t>
      </w:r>
      <w:r>
        <w:rPr>
          <w:rFonts w:hint="eastAsia" w:ascii="宋体" w:hAnsi="宋体" w:cs="宋体"/>
          <w:sz w:val="24"/>
          <w:szCs w:val="24"/>
        </w:rPr>
        <w:t>系</w:t>
      </w:r>
      <w:r>
        <w:rPr>
          <w:rFonts w:ascii="宋体" w:hAnsi="宋体" w:cs="宋体"/>
          <w:sz w:val="24"/>
          <w:szCs w:val="24"/>
        </w:rPr>
        <w:t xml:space="preserve">  </w:t>
      </w:r>
      <w:r>
        <w:rPr>
          <w:rFonts w:hint="eastAsia" w:ascii="宋体" w:hAnsi="宋体" w:cs="宋体"/>
          <w:sz w:val="24"/>
          <w:szCs w:val="24"/>
        </w:rPr>
        <w:t>人</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 xml:space="preserve">    </w:t>
      </w:r>
      <w:r>
        <w:rPr>
          <w:rFonts w:ascii="宋体" w:hAnsi="宋体" w:cs="宋体"/>
          <w:sz w:val="24"/>
          <w:szCs w:val="24"/>
          <w:u w:val="single"/>
        </w:rPr>
        <w:t xml:space="preserve">                         </w:t>
      </w:r>
    </w:p>
    <w:p>
      <w:pPr>
        <w:spacing w:line="520" w:lineRule="exact"/>
        <w:ind w:firstLine="1080" w:firstLineChars="450"/>
        <w:rPr>
          <w:rFonts w:ascii="宋体"/>
          <w:sz w:val="24"/>
          <w:szCs w:val="24"/>
          <w:u w:val="single"/>
        </w:rPr>
      </w:pPr>
      <w:r>
        <w:rPr>
          <w:rFonts w:hint="eastAsia" w:ascii="宋体" w:hAnsi="宋体" w:cs="宋体"/>
          <w:sz w:val="24"/>
          <w:szCs w:val="24"/>
        </w:rPr>
        <w:t>联系电话（手机）：</w:t>
      </w:r>
      <w:r>
        <w:rPr>
          <w:rFonts w:ascii="宋体" w:hAnsi="宋体" w:cs="宋体"/>
          <w:sz w:val="24"/>
          <w:szCs w:val="24"/>
          <w:u w:val="single"/>
        </w:rPr>
        <w:t xml:space="preserve">                         </w:t>
      </w:r>
    </w:p>
    <w:p>
      <w:pPr>
        <w:spacing w:line="520" w:lineRule="exact"/>
        <w:ind w:firstLine="1080" w:firstLineChars="450"/>
        <w:rPr>
          <w:rFonts w:ascii="宋体"/>
          <w:sz w:val="24"/>
          <w:szCs w:val="24"/>
          <w:u w:val="single"/>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rPr>
        <w:t xml:space="preserve">     </w:t>
      </w:r>
      <w:r>
        <w:rPr>
          <w:rFonts w:ascii="宋体" w:hAnsi="宋体" w:cs="宋体"/>
          <w:sz w:val="24"/>
          <w:szCs w:val="24"/>
          <w:u w:val="single"/>
        </w:rPr>
        <w:t xml:space="preserve">                         </w:t>
      </w:r>
    </w:p>
    <w:p>
      <w:pPr>
        <w:spacing w:line="520" w:lineRule="exact"/>
        <w:jc w:val="center"/>
        <w:rPr>
          <w:rFonts w:ascii="宋体"/>
          <w:sz w:val="24"/>
          <w:szCs w:val="24"/>
        </w:rPr>
      </w:pPr>
      <w:r>
        <w:rPr>
          <w:rFonts w:ascii="宋体" w:hAnsi="宋体" w:cs="宋体"/>
          <w:sz w:val="24"/>
          <w:szCs w:val="24"/>
        </w:rPr>
        <w:t xml:space="preserve">    </w:t>
      </w:r>
    </w:p>
    <w:p>
      <w:pPr>
        <w:spacing w:line="520" w:lineRule="exact"/>
        <w:jc w:val="center"/>
        <w:rPr>
          <w:rFonts w:ascii="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after="156" w:afterLines="50" w:line="500" w:lineRule="exact"/>
        <w:jc w:val="center"/>
        <w:rPr>
          <w:rFonts w:ascii="宋体"/>
          <w:b/>
          <w:bCs/>
          <w:sz w:val="28"/>
          <w:szCs w:val="28"/>
        </w:rPr>
      </w:pPr>
    </w:p>
    <w:p>
      <w:pPr>
        <w:spacing w:line="400" w:lineRule="exact"/>
        <w:outlineLvl w:val="1"/>
        <w:rPr>
          <w:b/>
          <w:bCs/>
          <w:sz w:val="28"/>
          <w:szCs w:val="28"/>
        </w:rPr>
      </w:pPr>
      <w:r>
        <w:rPr>
          <w:b/>
          <w:bCs/>
          <w:sz w:val="28"/>
          <w:szCs w:val="28"/>
        </w:rPr>
        <w:br w:type="page"/>
      </w:r>
      <w:r>
        <w:rPr>
          <w:b/>
          <w:bCs/>
          <w:sz w:val="28"/>
          <w:szCs w:val="28"/>
        </w:rPr>
        <w:t>1</w:t>
      </w:r>
      <w:r>
        <w:rPr>
          <w:rFonts w:hint="eastAsia" w:ascii="宋体" w:hAnsi="宋体" w:cs="宋体"/>
          <w:b/>
          <w:bCs/>
          <w:sz w:val="28"/>
          <w:szCs w:val="28"/>
        </w:rPr>
        <w:t>、商务部分：</w:t>
      </w:r>
    </w:p>
    <w:p>
      <w:pPr>
        <w:pStyle w:val="4"/>
        <w:spacing w:before="80" w:after="80" w:line="412" w:lineRule="auto"/>
        <w:jc w:val="center"/>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）响应函</w:t>
      </w:r>
    </w:p>
    <w:p>
      <w:pPr>
        <w:pStyle w:val="15"/>
        <w:spacing w:line="360" w:lineRule="auto"/>
        <w:rPr>
          <w:rFonts w:ascii="宋体"/>
          <w:sz w:val="22"/>
          <w:szCs w:val="22"/>
        </w:rPr>
      </w:pPr>
      <w:r>
        <w:rPr>
          <w:rFonts w:hint="eastAsia" w:ascii="宋体" w:hAnsi="宋体" w:cs="宋体"/>
          <w:sz w:val="22"/>
          <w:szCs w:val="22"/>
        </w:rPr>
        <w:t>致：安徽鼎信项目管理股份有限公司</w:t>
      </w:r>
    </w:p>
    <w:p>
      <w:pPr>
        <w:spacing w:line="360" w:lineRule="auto"/>
        <w:ind w:firstLine="440" w:firstLineChars="200"/>
        <w:rPr>
          <w:rFonts w:ascii="宋体"/>
          <w:dstrike/>
          <w:sz w:val="22"/>
          <w:szCs w:val="22"/>
        </w:rPr>
      </w:pPr>
      <w:r>
        <w:rPr>
          <w:rFonts w:hint="eastAsia" w:ascii="宋体" w:hAnsi="宋体" w:cs="宋体"/>
          <w:sz w:val="22"/>
          <w:szCs w:val="22"/>
        </w:rPr>
        <w:t>根据贵方“</w:t>
      </w:r>
      <w:r>
        <w:rPr>
          <w:rFonts w:hint="eastAsia" w:ascii="宋体" w:hAnsi="宋体" w:cs="宋体"/>
          <w:sz w:val="22"/>
          <w:szCs w:val="22"/>
          <w:u w:val="single"/>
        </w:rPr>
        <w:t>某项目</w:t>
      </w:r>
      <w:r>
        <w:rPr>
          <w:rFonts w:hint="eastAsia" w:ascii="宋体" w:hAnsi="宋体" w:cs="宋体"/>
          <w:sz w:val="22"/>
          <w:szCs w:val="22"/>
        </w:rPr>
        <w:t>（项目编号：</w:t>
      </w:r>
      <w:r>
        <w:rPr>
          <w:rFonts w:hint="eastAsia" w:ascii="宋体" w:hAnsi="宋体" w:cs="宋体"/>
          <w:sz w:val="22"/>
          <w:szCs w:val="22"/>
          <w:u w:val="single"/>
        </w:rPr>
        <w:t>某编号</w:t>
      </w:r>
      <w:r>
        <w:rPr>
          <w:rFonts w:hint="eastAsia" w:ascii="宋体" w:hAnsi="宋体" w:cs="宋体"/>
          <w:sz w:val="22"/>
          <w:szCs w:val="22"/>
        </w:rPr>
        <w:t>）”竞争性磋商邀请公告，我方正式授权下述签字人</w:t>
      </w:r>
      <w:r>
        <w:rPr>
          <w:rFonts w:ascii="宋体" w:hAnsi="宋体" w:cs="宋体"/>
          <w:sz w:val="22"/>
          <w:szCs w:val="22"/>
          <w:u w:val="single"/>
        </w:rPr>
        <w:t xml:space="preserve">        </w:t>
      </w:r>
      <w:r>
        <w:rPr>
          <w:rFonts w:hint="eastAsia" w:ascii="宋体" w:hAnsi="宋体" w:cs="宋体"/>
          <w:sz w:val="22"/>
          <w:szCs w:val="22"/>
        </w:rPr>
        <w:t>（姓名）代表投标供应商</w:t>
      </w:r>
      <w:r>
        <w:rPr>
          <w:rFonts w:ascii="宋体" w:hAnsi="宋体" w:cs="宋体"/>
          <w:sz w:val="22"/>
          <w:szCs w:val="22"/>
          <w:u w:val="single"/>
        </w:rPr>
        <w:t xml:space="preserve">         </w:t>
      </w:r>
      <w:r>
        <w:rPr>
          <w:rFonts w:hint="eastAsia" w:ascii="宋体" w:hAnsi="宋体" w:cs="宋体"/>
          <w:sz w:val="22"/>
          <w:szCs w:val="22"/>
        </w:rPr>
        <w:t>（投标供应商全称），提交响应文件正本</w:t>
      </w:r>
      <w:r>
        <w:rPr>
          <w:rFonts w:ascii="宋体" w:hAnsi="宋体" w:cs="宋体"/>
          <w:sz w:val="22"/>
          <w:szCs w:val="22"/>
          <w:u w:val="single"/>
        </w:rPr>
        <w:t xml:space="preserve">  </w:t>
      </w:r>
      <w:r>
        <w:rPr>
          <w:rFonts w:hint="eastAsia" w:ascii="宋体" w:hAnsi="宋体" w:cs="宋体"/>
          <w:sz w:val="22"/>
          <w:szCs w:val="22"/>
        </w:rPr>
        <w:t>份，副本</w:t>
      </w:r>
      <w:r>
        <w:rPr>
          <w:rFonts w:ascii="宋体" w:hAnsi="宋体" w:cs="宋体"/>
          <w:sz w:val="22"/>
          <w:szCs w:val="22"/>
          <w:u w:val="single"/>
        </w:rPr>
        <w:t xml:space="preserve">  </w:t>
      </w:r>
      <w:r>
        <w:rPr>
          <w:rFonts w:hint="eastAsia" w:ascii="宋体" w:hAnsi="宋体" w:cs="宋体"/>
          <w:sz w:val="22"/>
          <w:szCs w:val="22"/>
        </w:rPr>
        <w:t>份。</w:t>
      </w:r>
    </w:p>
    <w:p>
      <w:pPr>
        <w:spacing w:line="360" w:lineRule="auto"/>
        <w:ind w:firstLine="440" w:firstLineChars="200"/>
        <w:rPr>
          <w:rFonts w:ascii="宋体"/>
          <w:sz w:val="22"/>
          <w:szCs w:val="22"/>
        </w:rPr>
      </w:pPr>
      <w:r>
        <w:rPr>
          <w:rFonts w:hint="eastAsia" w:ascii="宋体" w:hAnsi="宋体" w:cs="宋体"/>
          <w:sz w:val="22"/>
          <w:szCs w:val="22"/>
        </w:rPr>
        <w:t>据此函，我方兹宣布同意如下：</w:t>
      </w:r>
    </w:p>
    <w:p>
      <w:pPr>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）按本次磋商文件规定及最终报价承诺提供服务。</w:t>
      </w:r>
    </w:p>
    <w:p>
      <w:pPr>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）我方根据本次磋商文件的规定，严格履行合同的责任和义务</w:t>
      </w:r>
      <w:r>
        <w:rPr>
          <w:rFonts w:ascii="宋体" w:cs="宋体"/>
          <w:sz w:val="22"/>
          <w:szCs w:val="22"/>
        </w:rPr>
        <w:t>,</w:t>
      </w:r>
      <w:r>
        <w:rPr>
          <w:rFonts w:hint="eastAsia" w:ascii="宋体" w:hAnsi="宋体" w:cs="宋体"/>
          <w:sz w:val="22"/>
          <w:szCs w:val="22"/>
        </w:rPr>
        <w:t>并保证于买方要求的日期内完成供货，并通过买方验收。</w:t>
      </w:r>
    </w:p>
    <w:p>
      <w:pPr>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我方已详细审核本次磋商文件，包括磋商文件附件、参考资料、磋商文件修改书或图纸（如果有的话），我方正式认可并遵守本次磋商文件，并对磋商文件各项条款（包括磋商时间）、规定及要求均无异议。我方知道必须放弃提出含糊不清或误解的问题的权利。</w:t>
      </w:r>
    </w:p>
    <w:p>
      <w:pPr>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）我方同意从投标供应商须知规定的磋商日期起遵循本磋商文件，并在投标供应商须知规定的磋商有效期之前均具有约束力。</w:t>
      </w:r>
    </w:p>
    <w:p>
      <w:pPr>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5</w:t>
      </w:r>
      <w:r>
        <w:rPr>
          <w:rFonts w:hint="eastAsia" w:ascii="宋体" w:hAnsi="宋体" w:cs="宋体"/>
          <w:sz w:val="22"/>
          <w:szCs w:val="22"/>
        </w:rPr>
        <w:t>）我方承诺如磋商保证金未在磋商文件规定时间前到达贵方指定的账户，我方磋商无效，由此产生的一切后果由我方承担；如果在磋商后规定的磋商有效期内撤回磋商，我方的磋商保证金可被贵方没收。</w:t>
      </w:r>
    </w:p>
    <w:p>
      <w:pPr>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6</w:t>
      </w:r>
      <w:r>
        <w:rPr>
          <w:rFonts w:hint="eastAsia" w:ascii="宋体" w:hAnsi="宋体" w:cs="宋体"/>
          <w:sz w:val="22"/>
          <w:szCs w:val="22"/>
        </w:rPr>
        <w:t>）我方同意按贵方要求在磋商现场规定时间内向贵方提供与其磋商有关的任何证据或补充资料，否则，我方的响应文件可被贵方拒绝。</w:t>
      </w:r>
    </w:p>
    <w:p>
      <w:pPr>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7</w:t>
      </w:r>
      <w:r>
        <w:rPr>
          <w:rFonts w:hint="eastAsia" w:ascii="宋体" w:hAnsi="宋体" w:cs="宋体"/>
          <w:sz w:val="22"/>
          <w:szCs w:val="22"/>
        </w:rPr>
        <w:t>）我方完全理解贵方不一定接受最低报价的磋商。</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w:t>
      </w:r>
      <w:r>
        <w:rPr>
          <w:rFonts w:ascii="宋体" w:hAnsi="宋体" w:cs="宋体"/>
          <w:sz w:val="22"/>
          <w:szCs w:val="22"/>
        </w:rPr>
        <w:t>8</w:t>
      </w:r>
      <w:r>
        <w:rPr>
          <w:rFonts w:hint="eastAsia" w:ascii="宋体" w:hAnsi="宋体" w:cs="宋体"/>
          <w:sz w:val="22"/>
          <w:szCs w:val="22"/>
        </w:rPr>
        <w:t>）我方对响应文件中所提供资料、文件、证书及证件的真实性和有效性负责。</w:t>
      </w:r>
    </w:p>
    <w:p>
      <w:pPr>
        <w:spacing w:line="360" w:lineRule="auto"/>
        <w:ind w:firstLine="440" w:firstLineChars="200"/>
        <w:rPr>
          <w:rFonts w:hint="eastAsia" w:ascii="宋体" w:hAnsi="宋体" w:cs="宋体"/>
          <w:sz w:val="22"/>
          <w:szCs w:val="22"/>
        </w:rPr>
      </w:pPr>
    </w:p>
    <w:p>
      <w:pPr>
        <w:spacing w:line="360" w:lineRule="auto"/>
        <w:ind w:firstLine="440" w:firstLineChars="200"/>
        <w:rPr>
          <w:rFonts w:hint="eastAsia" w:ascii="宋体" w:hAnsi="宋体" w:cs="宋体"/>
          <w:sz w:val="22"/>
          <w:szCs w:val="22"/>
        </w:rPr>
      </w:pPr>
    </w:p>
    <w:p>
      <w:pPr>
        <w:spacing w:line="360" w:lineRule="auto"/>
        <w:ind w:firstLine="440" w:firstLineChars="200"/>
        <w:rPr>
          <w:rFonts w:hint="eastAsia" w:ascii="宋体" w:hAnsi="宋体" w:cs="宋体"/>
          <w:sz w:val="22"/>
          <w:szCs w:val="22"/>
        </w:rPr>
      </w:pPr>
      <w:r>
        <w:rPr>
          <w:rFonts w:hint="eastAsia" w:ascii="宋体" w:hAnsi="宋体" w:cs="宋体"/>
          <w:sz w:val="22"/>
          <w:szCs w:val="22"/>
        </w:rPr>
        <w:t>投标人：</w:t>
      </w:r>
      <w:r>
        <w:rPr>
          <w:rFonts w:hint="eastAsia" w:ascii="宋体" w:hAnsi="宋体" w:cs="宋体"/>
          <w:sz w:val="22"/>
          <w:szCs w:val="22"/>
          <w:u w:val="single"/>
          <w:lang w:val="en-US" w:eastAsia="zh-CN"/>
        </w:rPr>
        <w:t xml:space="preserve">                     </w:t>
      </w:r>
      <w:r>
        <w:rPr>
          <w:rFonts w:hint="eastAsia" w:ascii="宋体" w:hAnsi="宋体" w:cs="宋体"/>
          <w:sz w:val="22"/>
          <w:szCs w:val="22"/>
          <w:lang w:val="en-US" w:eastAsia="zh-CN"/>
        </w:rPr>
        <w:t xml:space="preserve"> </w:t>
      </w:r>
      <w:r>
        <w:rPr>
          <w:rFonts w:hint="eastAsia" w:ascii="宋体" w:hAnsi="宋体" w:cs="宋体"/>
          <w:sz w:val="22"/>
          <w:szCs w:val="22"/>
        </w:rPr>
        <w:t xml:space="preserve">(盖单位公章)  </w:t>
      </w:r>
    </w:p>
    <w:p>
      <w:pPr>
        <w:spacing w:line="360" w:lineRule="auto"/>
        <w:ind w:firstLine="440" w:firstLineChars="200"/>
        <w:rPr>
          <w:rFonts w:hint="eastAsia" w:ascii="宋体" w:hAnsi="宋体" w:cs="宋体"/>
          <w:sz w:val="22"/>
          <w:szCs w:val="22"/>
          <w:u w:val="single"/>
        </w:rPr>
      </w:pPr>
      <w:r>
        <w:rPr>
          <w:rFonts w:hint="eastAsia" w:ascii="宋体" w:hAnsi="宋体" w:cs="宋体"/>
          <w:sz w:val="22"/>
          <w:szCs w:val="22"/>
        </w:rPr>
        <w:t>单位地址及邮政编码：</w:t>
      </w:r>
      <w:r>
        <w:rPr>
          <w:rFonts w:hint="eastAsia" w:ascii="宋体" w:hAnsi="宋体" w:cs="宋体"/>
          <w:sz w:val="22"/>
          <w:szCs w:val="22"/>
          <w:u w:val="single"/>
          <w:lang w:val="en-US" w:eastAsia="zh-CN"/>
        </w:rPr>
        <w:t xml:space="preserve">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 xml:space="preserve">法定代表人（或负责人）（签字或盖章）： </w:t>
      </w:r>
      <w:r>
        <w:rPr>
          <w:rFonts w:hint="eastAsia" w:ascii="宋体" w:hAnsi="宋体" w:cs="宋体"/>
          <w:sz w:val="22"/>
          <w:szCs w:val="22"/>
          <w:u w:val="single"/>
          <w:lang w:val="en-US" w:eastAsia="zh-CN"/>
        </w:rPr>
        <w:t xml:space="preserve">                     </w:t>
      </w:r>
    </w:p>
    <w:p>
      <w:pPr>
        <w:spacing w:line="360" w:lineRule="auto"/>
        <w:ind w:firstLine="440" w:firstLineChars="200"/>
        <w:rPr>
          <w:rFonts w:hint="eastAsia" w:ascii="宋体" w:hAnsi="宋体" w:cs="宋体"/>
          <w:sz w:val="22"/>
          <w:szCs w:val="22"/>
        </w:rPr>
      </w:pPr>
      <w:r>
        <w:rPr>
          <w:rFonts w:hint="eastAsia" w:ascii="宋体" w:hAnsi="宋体" w:cs="宋体"/>
          <w:sz w:val="22"/>
          <w:szCs w:val="22"/>
        </w:rPr>
        <w:t xml:space="preserve">联系电话（传真）： </w:t>
      </w:r>
      <w:r>
        <w:rPr>
          <w:rFonts w:hint="eastAsia" w:ascii="宋体" w:hAnsi="宋体" w:cs="宋体"/>
          <w:sz w:val="22"/>
          <w:szCs w:val="22"/>
          <w:u w:val="single"/>
          <w:lang w:val="en-US" w:eastAsia="zh-CN"/>
        </w:rPr>
        <w:t xml:space="preserve">                     </w:t>
      </w:r>
      <w:r>
        <w:rPr>
          <w:rFonts w:hint="eastAsia" w:ascii="宋体" w:hAnsi="宋体" w:cs="宋体"/>
          <w:sz w:val="22"/>
          <w:szCs w:val="22"/>
        </w:rPr>
        <w:t xml:space="preserve"> </w:t>
      </w:r>
    </w:p>
    <w:p>
      <w:pPr>
        <w:spacing w:line="360" w:lineRule="auto"/>
        <w:ind w:firstLine="440" w:firstLineChars="200"/>
        <w:rPr>
          <w:rFonts w:hint="eastAsia" w:ascii="宋体" w:hAnsi="宋体" w:cs="宋体"/>
          <w:sz w:val="22"/>
          <w:szCs w:val="22"/>
        </w:rPr>
        <w:sectPr>
          <w:headerReference r:id="rId3" w:type="default"/>
          <w:pgSz w:w="11907" w:h="16840"/>
          <w:pgMar w:top="1418" w:right="1134" w:bottom="1418" w:left="1134" w:header="720" w:footer="720" w:gutter="0"/>
          <w:cols w:space="720" w:num="1"/>
          <w:docGrid w:type="lines" w:linePitch="312" w:charSpace="0"/>
        </w:sectPr>
      </w:pPr>
    </w:p>
    <w:p>
      <w:pPr>
        <w:pStyle w:val="4"/>
        <w:spacing w:before="80" w:after="80" w:line="412" w:lineRule="auto"/>
        <w:jc w:val="center"/>
        <w:rPr>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）法定代表人身份证明</w:t>
      </w:r>
    </w:p>
    <w:p>
      <w:pPr>
        <w:spacing w:line="440" w:lineRule="exact"/>
        <w:rPr>
          <w:rFonts w:ascii="宋体"/>
          <w:sz w:val="22"/>
          <w:szCs w:val="22"/>
        </w:rPr>
      </w:pPr>
      <w:r>
        <w:rPr>
          <w:rFonts w:hint="eastAsia" w:ascii="宋体" w:hAnsi="宋体" w:cs="宋体"/>
          <w:sz w:val="22"/>
          <w:szCs w:val="22"/>
        </w:rPr>
        <w:t>单位名称：</w:t>
      </w:r>
      <w:r>
        <w:rPr>
          <w:rFonts w:ascii="宋体" w:hAnsi="宋体" w:cs="宋体"/>
          <w:sz w:val="22"/>
          <w:szCs w:val="22"/>
          <w:u w:val="single"/>
        </w:rPr>
        <w:t xml:space="preserve">                             </w:t>
      </w:r>
    </w:p>
    <w:p>
      <w:pPr>
        <w:spacing w:line="440" w:lineRule="exact"/>
        <w:rPr>
          <w:rFonts w:ascii="宋体"/>
          <w:sz w:val="22"/>
          <w:szCs w:val="22"/>
        </w:rPr>
      </w:pPr>
      <w:r>
        <w:rPr>
          <w:rFonts w:hint="eastAsia" w:ascii="宋体" w:hAnsi="宋体" w:cs="宋体"/>
          <w:sz w:val="22"/>
          <w:szCs w:val="22"/>
        </w:rPr>
        <w:t>单位地址：</w:t>
      </w:r>
      <w:r>
        <w:rPr>
          <w:rFonts w:ascii="宋体" w:hAnsi="宋体" w:cs="宋体"/>
          <w:sz w:val="22"/>
          <w:szCs w:val="22"/>
          <w:u w:val="single"/>
        </w:rPr>
        <w:t xml:space="preserve">                             </w:t>
      </w:r>
    </w:p>
    <w:p>
      <w:pPr>
        <w:spacing w:line="440" w:lineRule="exact"/>
        <w:ind w:firstLine="440" w:firstLineChars="200"/>
        <w:rPr>
          <w:rFonts w:ascii="宋体"/>
          <w:sz w:val="22"/>
          <w:szCs w:val="22"/>
        </w:rPr>
      </w:pPr>
      <w:r>
        <w:rPr>
          <w:rFonts w:hint="eastAsia" w:ascii="宋体" w:hAnsi="宋体" w:cs="宋体"/>
          <w:sz w:val="22"/>
          <w:szCs w:val="22"/>
        </w:rPr>
        <w:t>姓名：</w:t>
      </w:r>
      <w:r>
        <w:rPr>
          <w:rFonts w:ascii="宋体" w:hAnsi="宋体" w:cs="宋体"/>
          <w:sz w:val="22"/>
          <w:szCs w:val="22"/>
          <w:u w:val="single"/>
        </w:rPr>
        <w:t xml:space="preserve">           </w:t>
      </w:r>
      <w:r>
        <w:rPr>
          <w:rFonts w:hint="eastAsia" w:ascii="宋体" w:hAnsi="宋体" w:cs="宋体"/>
          <w:sz w:val="22"/>
          <w:szCs w:val="22"/>
        </w:rPr>
        <w:t>性别：</w:t>
      </w:r>
      <w:r>
        <w:rPr>
          <w:rFonts w:ascii="宋体" w:hAnsi="宋体" w:cs="宋体"/>
          <w:sz w:val="22"/>
          <w:szCs w:val="22"/>
          <w:u w:val="single"/>
        </w:rPr>
        <w:t xml:space="preserve">          </w:t>
      </w:r>
      <w:r>
        <w:rPr>
          <w:rFonts w:ascii="宋体" w:hAnsi="宋体" w:cs="宋体"/>
          <w:sz w:val="22"/>
          <w:szCs w:val="22"/>
        </w:rPr>
        <w:t xml:space="preserve"> </w:t>
      </w:r>
      <w:r>
        <w:rPr>
          <w:rFonts w:hint="eastAsia" w:ascii="宋体" w:hAnsi="宋体" w:cs="宋体"/>
          <w:sz w:val="22"/>
          <w:szCs w:val="22"/>
        </w:rPr>
        <w:t>年龄：</w:t>
      </w:r>
      <w:r>
        <w:rPr>
          <w:rFonts w:ascii="宋体" w:hAnsi="宋体" w:cs="宋体"/>
          <w:sz w:val="22"/>
          <w:szCs w:val="22"/>
          <w:u w:val="single"/>
        </w:rPr>
        <w:t xml:space="preserve">           </w:t>
      </w:r>
      <w:r>
        <w:rPr>
          <w:rFonts w:hint="eastAsia" w:ascii="宋体" w:hAnsi="宋体" w:cs="宋体"/>
          <w:sz w:val="22"/>
          <w:szCs w:val="22"/>
        </w:rPr>
        <w:t>职务：</w:t>
      </w:r>
      <w:r>
        <w:rPr>
          <w:rFonts w:ascii="宋体" w:hAnsi="宋体" w:cs="宋体"/>
          <w:sz w:val="22"/>
          <w:szCs w:val="22"/>
          <w:u w:val="single"/>
        </w:rPr>
        <w:t xml:space="preserve">           </w:t>
      </w:r>
    </w:p>
    <w:p>
      <w:pPr>
        <w:spacing w:line="440" w:lineRule="exact"/>
        <w:ind w:firstLine="440" w:firstLineChars="200"/>
        <w:rPr>
          <w:rFonts w:ascii="宋体"/>
          <w:sz w:val="22"/>
          <w:szCs w:val="22"/>
        </w:rPr>
      </w:pPr>
      <w:r>
        <w:rPr>
          <w:rFonts w:hint="eastAsia" w:ascii="宋体" w:hAnsi="宋体" w:cs="宋体"/>
          <w:sz w:val="22"/>
          <w:szCs w:val="22"/>
        </w:rPr>
        <w:t>系</w:t>
      </w:r>
      <w:r>
        <w:rPr>
          <w:rFonts w:ascii="宋体" w:hAnsi="宋体" w:cs="宋体"/>
          <w:sz w:val="22"/>
          <w:szCs w:val="22"/>
          <w:u w:val="single"/>
        </w:rPr>
        <w:t xml:space="preserve">                         </w:t>
      </w:r>
      <w:r>
        <w:rPr>
          <w:rFonts w:hint="eastAsia" w:ascii="宋体" w:hAnsi="宋体" w:cs="宋体"/>
          <w:sz w:val="22"/>
          <w:szCs w:val="22"/>
        </w:rPr>
        <w:t>的法定代表人。为参与</w:t>
      </w:r>
      <w:r>
        <w:rPr>
          <w:rFonts w:ascii="宋体" w:hAnsi="宋体" w:cs="宋体"/>
          <w:sz w:val="22"/>
          <w:szCs w:val="22"/>
          <w:u w:val="single"/>
        </w:rPr>
        <w:t xml:space="preserve">           </w:t>
      </w:r>
      <w:r>
        <w:rPr>
          <w:rFonts w:hint="eastAsia" w:ascii="宋体" w:hAnsi="宋体" w:cs="宋体"/>
          <w:sz w:val="22"/>
          <w:szCs w:val="22"/>
        </w:rPr>
        <w:t>项目，签署上述响应文件、进行合同谈判、签署合同和处理与之有关的一切事务。</w:t>
      </w:r>
    </w:p>
    <w:p>
      <w:pPr>
        <w:spacing w:line="440" w:lineRule="exact"/>
        <w:ind w:firstLine="440" w:firstLineChars="200"/>
        <w:rPr>
          <w:rFonts w:ascii="宋体"/>
          <w:sz w:val="22"/>
          <w:szCs w:val="22"/>
        </w:rPr>
      </w:pPr>
      <w:r>
        <w:rPr>
          <w:rFonts w:hint="eastAsia" w:ascii="宋体" w:hAnsi="宋体" w:cs="宋体"/>
          <w:sz w:val="22"/>
          <w:szCs w:val="22"/>
        </w:rPr>
        <w:t>特此证明。</w:t>
      </w:r>
    </w:p>
    <w:p>
      <w:pPr>
        <w:spacing w:line="440" w:lineRule="exact"/>
        <w:rPr>
          <w:rFonts w:ascii="宋体"/>
          <w:sz w:val="22"/>
          <w:szCs w:val="22"/>
        </w:rPr>
      </w:pPr>
    </w:p>
    <w:p>
      <w:pPr>
        <w:spacing w:line="440" w:lineRule="exact"/>
        <w:rPr>
          <w:sz w:val="22"/>
          <w:szCs w:val="22"/>
        </w:rPr>
      </w:pPr>
    </w:p>
    <w:p>
      <w:pPr>
        <w:spacing w:line="440" w:lineRule="exact"/>
        <w:rPr>
          <w:sz w:val="22"/>
          <w:szCs w:val="22"/>
        </w:rPr>
      </w:pPr>
    </w:p>
    <w:p>
      <w:pPr>
        <w:spacing w:line="440" w:lineRule="exact"/>
        <w:jc w:val="center"/>
        <w:rPr>
          <w:rFonts w:ascii="宋体"/>
          <w:sz w:val="22"/>
          <w:szCs w:val="22"/>
        </w:rPr>
      </w:pPr>
      <w:r>
        <w:rPr>
          <w:rFonts w:hint="eastAsia" w:ascii="宋体" w:hAnsi="宋体" w:cs="宋体"/>
          <w:sz w:val="22"/>
          <w:szCs w:val="22"/>
        </w:rPr>
        <w:t xml:space="preserve">            </w:t>
      </w:r>
      <w:r>
        <w:rPr>
          <w:rFonts w:ascii="宋体" w:hAnsi="宋体" w:cs="宋体"/>
          <w:sz w:val="22"/>
          <w:szCs w:val="22"/>
        </w:rPr>
        <w:t xml:space="preserve">      </w:t>
      </w:r>
      <w:r>
        <w:rPr>
          <w:rFonts w:hint="eastAsia" w:ascii="宋体" w:hAnsi="宋体" w:cs="宋体"/>
          <w:sz w:val="22"/>
          <w:szCs w:val="22"/>
        </w:rPr>
        <w:t xml:space="preserve">   </w:t>
      </w:r>
      <w:r>
        <w:rPr>
          <w:rFonts w:ascii="宋体" w:hAnsi="宋体" w:cs="宋体"/>
          <w:sz w:val="22"/>
          <w:szCs w:val="22"/>
        </w:rPr>
        <w:t xml:space="preserve">  </w:t>
      </w:r>
      <w:r>
        <w:rPr>
          <w:rFonts w:hint="eastAsia" w:ascii="宋体" w:hAnsi="宋体" w:cs="宋体"/>
          <w:sz w:val="22"/>
          <w:szCs w:val="22"/>
        </w:rPr>
        <w:t>投标供应商：（盖单位章）</w:t>
      </w:r>
    </w:p>
    <w:p>
      <w:pPr>
        <w:wordWrap w:val="0"/>
        <w:spacing w:line="440" w:lineRule="exact"/>
        <w:jc w:val="center"/>
        <w:rPr>
          <w:rFonts w:ascii="宋体"/>
          <w:sz w:val="22"/>
          <w:szCs w:val="22"/>
        </w:rPr>
      </w:pPr>
      <w:r>
        <w:rPr>
          <w:rFonts w:hint="eastAsia" w:ascii="宋体" w:hAnsi="宋体" w:cs="宋体"/>
          <w:sz w:val="22"/>
          <w:szCs w:val="22"/>
        </w:rPr>
        <w:t xml:space="preserve"> </w:t>
      </w:r>
      <w:r>
        <w:rPr>
          <w:rFonts w:ascii="宋体" w:hAnsi="宋体" w:cs="宋体"/>
          <w:sz w:val="22"/>
          <w:szCs w:val="22"/>
        </w:rPr>
        <w:t xml:space="preserve">            </w:t>
      </w:r>
      <w:r>
        <w:rPr>
          <w:rFonts w:hint="eastAsia" w:ascii="宋体" w:hAnsi="宋体" w:cs="宋体"/>
          <w:sz w:val="22"/>
          <w:szCs w:val="22"/>
        </w:rPr>
        <w:t>法人签字：</w:t>
      </w:r>
    </w:p>
    <w:p>
      <w:pPr>
        <w:spacing w:line="440" w:lineRule="exact"/>
        <w:jc w:val="right"/>
        <w:rPr>
          <w:rFonts w:ascii="宋体"/>
          <w:sz w:val="22"/>
          <w:szCs w:val="22"/>
        </w:rPr>
      </w:pPr>
      <w:r>
        <w:rPr>
          <w:rFonts w:hint="eastAsia" w:ascii="宋体" w:hAnsi="宋体" w:cs="宋体"/>
          <w:sz w:val="22"/>
          <w:szCs w:val="22"/>
        </w:rPr>
        <w:t xml:space="preserve">                           </w:t>
      </w:r>
      <w:r>
        <w:rPr>
          <w:rFonts w:ascii="宋体" w:hAnsi="宋体" w:cs="宋体"/>
          <w:sz w:val="22"/>
          <w:szCs w:val="22"/>
        </w:rPr>
        <w:t xml:space="preserve">                  </w:t>
      </w:r>
      <w:r>
        <w:rPr>
          <w:rFonts w:hint="eastAsia" w:ascii="宋体" w:hAnsi="宋体" w:cs="宋体"/>
          <w:sz w:val="22"/>
          <w:szCs w:val="22"/>
        </w:rPr>
        <w:t xml:space="preserve">     年      月     日</w:t>
      </w:r>
    </w:p>
    <w:p>
      <w:pPr>
        <w:spacing w:line="440" w:lineRule="exact"/>
        <w:jc w:val="right"/>
        <w:rPr>
          <w:rFonts w:ascii="宋体"/>
          <w:sz w:val="20"/>
          <w:szCs w:val="20"/>
        </w:rPr>
      </w:pPr>
    </w:p>
    <w:p>
      <w:pPr>
        <w:spacing w:line="440" w:lineRule="exact"/>
        <w:jc w:val="right"/>
        <w:rPr>
          <w:rFonts w:ascii="宋体"/>
          <w:sz w:val="20"/>
          <w:szCs w:val="20"/>
        </w:rPr>
      </w:pPr>
    </w:p>
    <w:p>
      <w:pPr>
        <w:spacing w:line="440" w:lineRule="exact"/>
        <w:jc w:val="right"/>
        <w:rPr>
          <w:rFonts w:ascii="宋体"/>
          <w:sz w:val="20"/>
          <w:szCs w:val="20"/>
        </w:rPr>
      </w:pPr>
    </w:p>
    <w:tbl>
      <w:tblPr>
        <w:tblStyle w:val="24"/>
        <w:tblW w:w="9855" w:type="dxa"/>
        <w:tblInd w:w="2" w:type="dxa"/>
        <w:tblLayout w:type="fixed"/>
        <w:tblCellMar>
          <w:top w:w="0" w:type="dxa"/>
          <w:left w:w="108" w:type="dxa"/>
          <w:bottom w:w="0" w:type="dxa"/>
          <w:right w:w="108" w:type="dxa"/>
        </w:tblCellMar>
      </w:tblPr>
      <w:tblGrid>
        <w:gridCol w:w="4927"/>
        <w:gridCol w:w="4928"/>
      </w:tblGrid>
      <w:tr>
        <w:tblPrEx>
          <w:tblCellMar>
            <w:top w:w="0" w:type="dxa"/>
            <w:left w:w="108" w:type="dxa"/>
            <w:bottom w:w="0" w:type="dxa"/>
            <w:right w:w="108" w:type="dxa"/>
          </w:tblCellMar>
        </w:tblPrEx>
        <w:trPr>
          <w:trHeight w:val="4004" w:hRule="atLeast"/>
        </w:trPr>
        <w:tc>
          <w:tcPr>
            <w:tcW w:w="49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 w:val="28"/>
                <w:szCs w:val="28"/>
              </w:rPr>
            </w:pPr>
            <w:r>
              <w:rPr>
                <w:rFonts w:hint="eastAsia" w:ascii="宋体" w:hAnsi="宋体" w:cs="宋体"/>
                <w:sz w:val="28"/>
                <w:szCs w:val="28"/>
              </w:rPr>
              <w:t>法人身份证复印件</w:t>
            </w:r>
          </w:p>
          <w:p>
            <w:pPr>
              <w:spacing w:line="480" w:lineRule="exact"/>
              <w:jc w:val="center"/>
              <w:rPr>
                <w:rFonts w:ascii="宋体"/>
                <w:sz w:val="28"/>
                <w:szCs w:val="28"/>
              </w:rPr>
            </w:pPr>
          </w:p>
          <w:p>
            <w:pPr>
              <w:spacing w:line="480" w:lineRule="exact"/>
              <w:jc w:val="center"/>
              <w:rPr>
                <w:rFonts w:ascii="宋体"/>
                <w:sz w:val="28"/>
                <w:szCs w:val="28"/>
              </w:rPr>
            </w:pPr>
            <w:r>
              <w:rPr>
                <w:rFonts w:hint="eastAsia" w:ascii="宋体" w:hAnsi="宋体" w:cs="宋体"/>
                <w:sz w:val="28"/>
                <w:szCs w:val="28"/>
              </w:rPr>
              <w:t>正面</w:t>
            </w:r>
          </w:p>
        </w:tc>
        <w:tc>
          <w:tcPr>
            <w:tcW w:w="4928" w:type="dxa"/>
            <w:tcBorders>
              <w:top w:val="single" w:color="auto" w:sz="4" w:space="0"/>
              <w:left w:val="nil"/>
              <w:bottom w:val="single" w:color="auto" w:sz="4" w:space="0"/>
              <w:right w:val="single" w:color="auto" w:sz="4" w:space="0"/>
            </w:tcBorders>
            <w:vAlign w:val="center"/>
          </w:tcPr>
          <w:p>
            <w:pPr>
              <w:spacing w:line="480" w:lineRule="exact"/>
              <w:jc w:val="center"/>
              <w:rPr>
                <w:rFonts w:ascii="宋体"/>
                <w:sz w:val="28"/>
                <w:szCs w:val="28"/>
              </w:rPr>
            </w:pPr>
            <w:r>
              <w:rPr>
                <w:rFonts w:hint="eastAsia" w:ascii="宋体" w:hAnsi="宋体" w:cs="宋体"/>
                <w:sz w:val="28"/>
                <w:szCs w:val="28"/>
              </w:rPr>
              <w:t>法人身份证复印件</w:t>
            </w:r>
          </w:p>
          <w:p>
            <w:pPr>
              <w:spacing w:line="480" w:lineRule="exact"/>
              <w:jc w:val="center"/>
              <w:rPr>
                <w:rFonts w:ascii="宋体"/>
                <w:sz w:val="28"/>
                <w:szCs w:val="28"/>
              </w:rPr>
            </w:pPr>
          </w:p>
          <w:p>
            <w:pPr>
              <w:spacing w:line="480" w:lineRule="exact"/>
              <w:jc w:val="center"/>
              <w:rPr>
                <w:rFonts w:ascii="宋体"/>
                <w:sz w:val="28"/>
                <w:szCs w:val="28"/>
              </w:rPr>
            </w:pPr>
            <w:r>
              <w:rPr>
                <w:rFonts w:hint="eastAsia" w:ascii="宋体" w:hAnsi="宋体" w:cs="宋体"/>
                <w:sz w:val="28"/>
                <w:szCs w:val="28"/>
              </w:rPr>
              <w:t>反面</w:t>
            </w:r>
          </w:p>
        </w:tc>
      </w:tr>
    </w:tbl>
    <w:p>
      <w:pPr>
        <w:spacing w:line="400" w:lineRule="exact"/>
        <w:rPr>
          <w:rFonts w:ascii="宋体"/>
          <w:sz w:val="22"/>
          <w:szCs w:val="22"/>
        </w:rPr>
      </w:pPr>
    </w:p>
    <w:p>
      <w:pPr>
        <w:spacing w:line="400" w:lineRule="exact"/>
        <w:rPr>
          <w:rFonts w:ascii="宋体"/>
          <w:sz w:val="22"/>
          <w:szCs w:val="22"/>
        </w:rPr>
      </w:pPr>
    </w:p>
    <w:p>
      <w:pPr>
        <w:widowControl/>
        <w:jc w:val="left"/>
        <w:rPr>
          <w:rFonts w:ascii="宋体"/>
          <w:b/>
          <w:bCs/>
          <w:sz w:val="28"/>
          <w:szCs w:val="28"/>
        </w:rPr>
        <w:sectPr>
          <w:pgSz w:w="11907" w:h="16840"/>
          <w:pgMar w:top="1418" w:right="1134" w:bottom="1418" w:left="1134" w:header="720" w:footer="720" w:gutter="0"/>
          <w:cols w:space="720" w:num="1"/>
          <w:docGrid w:type="lines" w:linePitch="312" w:charSpace="0"/>
        </w:sectPr>
      </w:pPr>
    </w:p>
    <w:p>
      <w:pPr>
        <w:pStyle w:val="4"/>
        <w:spacing w:before="80" w:after="80" w:line="412" w:lineRule="auto"/>
        <w:jc w:val="center"/>
        <w:rPr>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）授权委托书</w:t>
      </w:r>
    </w:p>
    <w:p>
      <w:pPr>
        <w:topLinePunct/>
        <w:spacing w:line="440" w:lineRule="exact"/>
        <w:ind w:firstLine="440" w:firstLineChars="200"/>
        <w:rPr>
          <w:sz w:val="22"/>
          <w:szCs w:val="22"/>
        </w:rPr>
      </w:pPr>
      <w:r>
        <w:rPr>
          <w:rFonts w:hint="eastAsia" w:ascii="宋体" w:hAnsi="宋体" w:cs="宋体"/>
          <w:sz w:val="22"/>
          <w:szCs w:val="22"/>
        </w:rPr>
        <w:t>本人（姓名）系（投标供应商名称）的法定代表人，现委托（姓名）为我方代理人。代理人根据授权，以我方名义签署、澄清、说明、补正、递交、撤回、修改（项目名称）响应文件、签订合同和处理有关事宜，其法律后果由我方承担。</w:t>
      </w:r>
    </w:p>
    <w:p>
      <w:pPr>
        <w:spacing w:line="440" w:lineRule="exact"/>
        <w:rPr>
          <w:sz w:val="22"/>
          <w:szCs w:val="22"/>
        </w:rPr>
      </w:pPr>
      <w:r>
        <w:rPr>
          <w:rFonts w:hint="eastAsia" w:ascii="宋体" w:hAnsi="宋体" w:cs="宋体"/>
          <w:sz w:val="22"/>
          <w:szCs w:val="22"/>
        </w:rPr>
        <w:t>委托期限：。</w:t>
      </w:r>
    </w:p>
    <w:p>
      <w:pPr>
        <w:spacing w:line="440" w:lineRule="exact"/>
        <w:ind w:firstLine="440" w:firstLineChars="200"/>
        <w:rPr>
          <w:rFonts w:ascii="宋体"/>
          <w:sz w:val="22"/>
          <w:szCs w:val="22"/>
        </w:rPr>
      </w:pPr>
      <w:r>
        <w:rPr>
          <w:rFonts w:hint="eastAsia" w:ascii="宋体" w:hAnsi="宋体" w:cs="宋体"/>
          <w:sz w:val="22"/>
          <w:szCs w:val="22"/>
        </w:rPr>
        <w:t>代理人无转委托权。</w:t>
      </w:r>
    </w:p>
    <w:p>
      <w:pPr>
        <w:spacing w:line="440" w:lineRule="exact"/>
        <w:ind w:firstLine="440" w:firstLineChars="200"/>
        <w:rPr>
          <w:rFonts w:ascii="宋体"/>
          <w:sz w:val="22"/>
          <w:szCs w:val="22"/>
        </w:rPr>
      </w:pPr>
      <w:r>
        <w:rPr>
          <w:rFonts w:hint="eastAsia" w:ascii="宋体" w:hAnsi="宋体" w:cs="宋体"/>
          <w:sz w:val="22"/>
          <w:szCs w:val="22"/>
        </w:rPr>
        <w:t>附：法定代表人身份证明</w:t>
      </w:r>
    </w:p>
    <w:p>
      <w:pPr>
        <w:spacing w:line="440" w:lineRule="exact"/>
        <w:rPr>
          <w:sz w:val="22"/>
          <w:szCs w:val="22"/>
        </w:rPr>
      </w:pPr>
    </w:p>
    <w:p>
      <w:pPr>
        <w:spacing w:line="440" w:lineRule="exact"/>
        <w:rPr>
          <w:sz w:val="22"/>
          <w:szCs w:val="22"/>
        </w:rPr>
      </w:pPr>
      <w:r>
        <w:rPr>
          <w:rFonts w:hint="eastAsia" w:ascii="宋体" w:hAnsi="宋体" w:cs="宋体"/>
          <w:sz w:val="22"/>
          <w:szCs w:val="22"/>
        </w:rPr>
        <w:t>投标供应商：（盖单位章）</w:t>
      </w:r>
    </w:p>
    <w:p>
      <w:pPr>
        <w:spacing w:line="440" w:lineRule="exact"/>
        <w:rPr>
          <w:sz w:val="22"/>
          <w:szCs w:val="22"/>
        </w:rPr>
      </w:pPr>
    </w:p>
    <w:p>
      <w:pPr>
        <w:spacing w:line="440" w:lineRule="exact"/>
        <w:rPr>
          <w:sz w:val="22"/>
          <w:szCs w:val="22"/>
        </w:rPr>
      </w:pPr>
      <w:r>
        <w:rPr>
          <w:rFonts w:hint="eastAsia" w:ascii="宋体" w:hAnsi="宋体" w:cs="宋体"/>
          <w:sz w:val="22"/>
          <w:szCs w:val="22"/>
        </w:rPr>
        <w:t>法定代表人：（签字）</w:t>
      </w:r>
    </w:p>
    <w:p>
      <w:pPr>
        <w:spacing w:line="440" w:lineRule="exact"/>
        <w:rPr>
          <w:sz w:val="22"/>
          <w:szCs w:val="22"/>
        </w:rPr>
      </w:pPr>
      <w:r>
        <w:rPr>
          <w:rFonts w:hint="eastAsia" w:ascii="宋体" w:hAnsi="宋体" w:cs="宋体"/>
          <w:sz w:val="22"/>
          <w:szCs w:val="22"/>
        </w:rPr>
        <w:t>身份证号码：</w:t>
      </w:r>
    </w:p>
    <w:p>
      <w:pPr>
        <w:spacing w:line="440" w:lineRule="exact"/>
        <w:rPr>
          <w:sz w:val="22"/>
          <w:szCs w:val="22"/>
        </w:rPr>
      </w:pPr>
    </w:p>
    <w:p>
      <w:pPr>
        <w:spacing w:line="440" w:lineRule="exact"/>
        <w:rPr>
          <w:sz w:val="22"/>
          <w:szCs w:val="22"/>
        </w:rPr>
      </w:pPr>
      <w:r>
        <w:rPr>
          <w:rFonts w:hint="eastAsia" w:ascii="宋体" w:hAnsi="宋体" w:cs="宋体"/>
          <w:sz w:val="22"/>
          <w:szCs w:val="22"/>
        </w:rPr>
        <w:t>委托代理人：（签字）</w:t>
      </w:r>
    </w:p>
    <w:p>
      <w:pPr>
        <w:spacing w:line="440" w:lineRule="exact"/>
        <w:rPr>
          <w:sz w:val="22"/>
          <w:szCs w:val="22"/>
        </w:rPr>
      </w:pPr>
      <w:r>
        <w:rPr>
          <w:rFonts w:hint="eastAsia" w:ascii="宋体" w:hAnsi="宋体" w:cs="宋体"/>
          <w:sz w:val="22"/>
          <w:szCs w:val="22"/>
        </w:rPr>
        <w:t>身份证号码：</w:t>
      </w:r>
    </w:p>
    <w:p>
      <w:pPr>
        <w:spacing w:line="440" w:lineRule="exact"/>
        <w:rPr>
          <w:sz w:val="22"/>
          <w:szCs w:val="22"/>
        </w:rPr>
      </w:pPr>
      <w:r>
        <w:rPr>
          <w:rFonts w:hint="eastAsia" w:ascii="宋体" w:hAnsi="宋体" w:cs="宋体"/>
          <w:sz w:val="22"/>
          <w:szCs w:val="22"/>
        </w:rPr>
        <w:t>代理人联系方式：</w:t>
      </w:r>
    </w:p>
    <w:p>
      <w:pPr>
        <w:spacing w:line="440" w:lineRule="exact"/>
        <w:ind w:firstLine="2420" w:firstLineChars="1100"/>
        <w:jc w:val="right"/>
        <w:rPr>
          <w:rFonts w:eastAsia="黑体"/>
          <w:sz w:val="22"/>
          <w:szCs w:val="22"/>
        </w:rPr>
      </w:pPr>
      <w:r>
        <w:rPr>
          <w:rFonts w:hint="eastAsia" w:ascii="宋体" w:hAnsi="宋体" w:cs="宋体"/>
          <w:sz w:val="22"/>
          <w:szCs w:val="22"/>
        </w:rPr>
        <w:t>年</w:t>
      </w:r>
      <w:r>
        <w:rPr>
          <w:rFonts w:ascii="宋体" w:hAnsi="宋体" w:cs="宋体"/>
          <w:sz w:val="22"/>
          <w:szCs w:val="22"/>
        </w:rPr>
        <w:t xml:space="preserve">   </w:t>
      </w:r>
      <w:r>
        <w:rPr>
          <w:rFonts w:hint="eastAsia" w:ascii="宋体" w:hAnsi="宋体" w:cs="宋体"/>
          <w:sz w:val="22"/>
          <w:szCs w:val="22"/>
        </w:rPr>
        <w:t>月</w:t>
      </w:r>
      <w:r>
        <w:rPr>
          <w:rFonts w:ascii="宋体" w:hAnsi="宋体" w:cs="宋体"/>
          <w:sz w:val="22"/>
          <w:szCs w:val="22"/>
        </w:rPr>
        <w:t xml:space="preserve">    </w:t>
      </w:r>
      <w:r>
        <w:rPr>
          <w:rFonts w:hint="eastAsia" w:ascii="宋体" w:hAnsi="宋体" w:cs="宋体"/>
          <w:sz w:val="22"/>
          <w:szCs w:val="22"/>
        </w:rPr>
        <w:t>日</w:t>
      </w:r>
    </w:p>
    <w:p>
      <w:pPr>
        <w:spacing w:line="400" w:lineRule="exact"/>
        <w:rPr>
          <w:rFonts w:ascii="宋体"/>
          <w:sz w:val="22"/>
          <w:szCs w:val="22"/>
        </w:rPr>
      </w:pPr>
    </w:p>
    <w:tbl>
      <w:tblPr>
        <w:tblStyle w:val="24"/>
        <w:tblpPr w:leftFromText="180" w:rightFromText="180" w:vertAnchor="text" w:horzAnchor="margin" w:tblpY="788"/>
        <w:tblW w:w="9855" w:type="dxa"/>
        <w:tblInd w:w="0" w:type="dxa"/>
        <w:tblLayout w:type="fixed"/>
        <w:tblCellMar>
          <w:top w:w="0" w:type="dxa"/>
          <w:left w:w="108" w:type="dxa"/>
          <w:bottom w:w="0" w:type="dxa"/>
          <w:right w:w="108" w:type="dxa"/>
        </w:tblCellMar>
      </w:tblPr>
      <w:tblGrid>
        <w:gridCol w:w="4927"/>
        <w:gridCol w:w="4928"/>
      </w:tblGrid>
      <w:tr>
        <w:tblPrEx>
          <w:tblCellMar>
            <w:top w:w="0" w:type="dxa"/>
            <w:left w:w="108" w:type="dxa"/>
            <w:bottom w:w="0" w:type="dxa"/>
            <w:right w:w="108" w:type="dxa"/>
          </w:tblCellMar>
        </w:tblPrEx>
        <w:trPr>
          <w:trHeight w:val="4004" w:hRule="atLeast"/>
        </w:trPr>
        <w:tc>
          <w:tcPr>
            <w:tcW w:w="49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 w:val="28"/>
                <w:szCs w:val="28"/>
              </w:rPr>
            </w:pPr>
            <w:r>
              <w:rPr>
                <w:rFonts w:hint="eastAsia" w:ascii="宋体" w:hAnsi="宋体" w:cs="宋体"/>
                <w:sz w:val="28"/>
                <w:szCs w:val="28"/>
              </w:rPr>
              <w:t>委托授权人身份证复印件</w:t>
            </w:r>
          </w:p>
          <w:p>
            <w:pPr>
              <w:spacing w:line="480" w:lineRule="exact"/>
              <w:jc w:val="center"/>
              <w:rPr>
                <w:rFonts w:ascii="宋体"/>
                <w:sz w:val="28"/>
                <w:szCs w:val="28"/>
              </w:rPr>
            </w:pPr>
          </w:p>
          <w:p>
            <w:pPr>
              <w:spacing w:line="480" w:lineRule="exact"/>
              <w:jc w:val="center"/>
              <w:rPr>
                <w:rFonts w:ascii="宋体"/>
                <w:sz w:val="28"/>
                <w:szCs w:val="28"/>
              </w:rPr>
            </w:pPr>
            <w:r>
              <w:rPr>
                <w:rFonts w:hint="eastAsia" w:ascii="宋体" w:hAnsi="宋体" w:cs="宋体"/>
                <w:sz w:val="28"/>
                <w:szCs w:val="28"/>
              </w:rPr>
              <w:t>正面</w:t>
            </w:r>
          </w:p>
        </w:tc>
        <w:tc>
          <w:tcPr>
            <w:tcW w:w="4928" w:type="dxa"/>
            <w:tcBorders>
              <w:top w:val="single" w:color="auto" w:sz="4" w:space="0"/>
              <w:left w:val="nil"/>
              <w:bottom w:val="single" w:color="auto" w:sz="4" w:space="0"/>
              <w:right w:val="single" w:color="auto" w:sz="4" w:space="0"/>
            </w:tcBorders>
            <w:vAlign w:val="center"/>
          </w:tcPr>
          <w:p>
            <w:pPr>
              <w:spacing w:line="480" w:lineRule="exact"/>
              <w:jc w:val="center"/>
              <w:rPr>
                <w:rFonts w:ascii="宋体"/>
                <w:sz w:val="28"/>
                <w:szCs w:val="28"/>
              </w:rPr>
            </w:pPr>
            <w:r>
              <w:rPr>
                <w:rFonts w:hint="eastAsia" w:ascii="宋体" w:hAnsi="宋体" w:cs="宋体"/>
                <w:sz w:val="28"/>
                <w:szCs w:val="28"/>
              </w:rPr>
              <w:t>委托授权人身份证复印件</w:t>
            </w:r>
          </w:p>
          <w:p>
            <w:pPr>
              <w:spacing w:line="480" w:lineRule="exact"/>
              <w:jc w:val="center"/>
              <w:rPr>
                <w:rFonts w:ascii="宋体"/>
                <w:sz w:val="28"/>
                <w:szCs w:val="28"/>
              </w:rPr>
            </w:pPr>
          </w:p>
          <w:p>
            <w:pPr>
              <w:spacing w:line="480" w:lineRule="exact"/>
              <w:jc w:val="center"/>
              <w:rPr>
                <w:rFonts w:ascii="宋体"/>
                <w:sz w:val="28"/>
                <w:szCs w:val="28"/>
              </w:rPr>
            </w:pPr>
            <w:r>
              <w:rPr>
                <w:rFonts w:hint="eastAsia" w:ascii="宋体" w:hAnsi="宋体" w:cs="宋体"/>
                <w:sz w:val="28"/>
                <w:szCs w:val="28"/>
              </w:rPr>
              <w:t>反面</w:t>
            </w:r>
          </w:p>
        </w:tc>
      </w:tr>
    </w:tbl>
    <w:p>
      <w:pPr>
        <w:spacing w:line="400" w:lineRule="exact"/>
        <w:rPr>
          <w:rFonts w:ascii="宋体"/>
          <w:sz w:val="22"/>
          <w:szCs w:val="22"/>
        </w:rPr>
      </w:pPr>
    </w:p>
    <w:p>
      <w:pPr>
        <w:spacing w:line="400" w:lineRule="exact"/>
        <w:rPr>
          <w:rFonts w:ascii="宋体"/>
          <w:sz w:val="22"/>
          <w:szCs w:val="22"/>
        </w:rPr>
      </w:pPr>
    </w:p>
    <w:p>
      <w:pPr>
        <w:spacing w:line="400" w:lineRule="exact"/>
        <w:rPr>
          <w:rFonts w:ascii="宋体"/>
          <w:sz w:val="22"/>
          <w:szCs w:val="22"/>
        </w:rPr>
      </w:pPr>
    </w:p>
    <w:p>
      <w:pPr>
        <w:pStyle w:val="4"/>
        <w:spacing w:before="80" w:after="80" w:line="412" w:lineRule="auto"/>
        <w:rPr>
          <w:rFonts w:ascii="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）磋商报价表</w:t>
      </w:r>
    </w:p>
    <w:p>
      <w:pPr>
        <w:rPr>
          <w:rFonts w:ascii="宋体"/>
          <w:sz w:val="24"/>
          <w:szCs w:val="24"/>
        </w:rPr>
      </w:pPr>
      <w:r>
        <w:rPr>
          <w:rFonts w:hint="eastAsia" w:ascii="宋体" w:hAnsi="宋体" w:cs="宋体"/>
          <w:sz w:val="24"/>
          <w:szCs w:val="24"/>
        </w:rPr>
        <w:t>项目名称：</w:t>
      </w:r>
    </w:p>
    <w:tbl>
      <w:tblPr>
        <w:tblStyle w:val="24"/>
        <w:tblW w:w="79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48"/>
        <w:gridCol w:w="1908"/>
        <w:gridCol w:w="1276"/>
        <w:gridCol w:w="1580"/>
        <w:gridCol w:w="12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1948" w:type="dxa"/>
            <w:tcBorders>
              <w:top w:val="single" w:color="auto" w:sz="4" w:space="0"/>
              <w:bottom w:val="single" w:color="auto" w:sz="4" w:space="0"/>
              <w:right w:val="single" w:color="auto" w:sz="4" w:space="0"/>
            </w:tcBorders>
            <w:vAlign w:val="center"/>
          </w:tcPr>
          <w:p>
            <w:pPr>
              <w:ind w:firstLine="352" w:firstLineChars="147"/>
              <w:rPr>
                <w:rFonts w:ascii="宋体"/>
                <w:sz w:val="24"/>
                <w:szCs w:val="24"/>
              </w:rPr>
            </w:pPr>
            <w:r>
              <w:rPr>
                <w:rFonts w:hint="eastAsia" w:ascii="宋体"/>
                <w:sz w:val="24"/>
                <w:szCs w:val="24"/>
              </w:rPr>
              <w:t>服务项目</w:t>
            </w:r>
          </w:p>
        </w:tc>
        <w:tc>
          <w:tcPr>
            <w:tcW w:w="1908" w:type="dxa"/>
            <w:tcBorders>
              <w:top w:val="single" w:color="auto" w:sz="4" w:space="0"/>
              <w:bottom w:val="single" w:color="auto" w:sz="4" w:space="0"/>
            </w:tcBorders>
          </w:tcPr>
          <w:p>
            <w:pPr>
              <w:ind w:right="-670" w:firstLine="480" w:firstLineChars="200"/>
              <w:rPr>
                <w:rFonts w:ascii="宋体" w:hAnsi="宋体" w:cs="宋体"/>
                <w:sz w:val="24"/>
                <w:szCs w:val="24"/>
              </w:rPr>
            </w:pPr>
            <w:r>
              <w:rPr>
                <w:rFonts w:hint="eastAsia" w:ascii="宋体" w:hAnsi="宋体" w:cs="宋体"/>
                <w:sz w:val="24"/>
                <w:szCs w:val="24"/>
              </w:rPr>
              <w:t>服务内容</w:t>
            </w:r>
          </w:p>
        </w:tc>
        <w:tc>
          <w:tcPr>
            <w:tcW w:w="1276" w:type="dxa"/>
            <w:tcBorders>
              <w:top w:val="single" w:color="auto" w:sz="4" w:space="0"/>
              <w:left w:val="single" w:color="auto" w:sz="4" w:space="0"/>
              <w:bottom w:val="single" w:color="auto" w:sz="4" w:space="0"/>
            </w:tcBorders>
            <w:vAlign w:val="center"/>
          </w:tcPr>
          <w:p>
            <w:pPr>
              <w:ind w:right="-670" w:firstLine="240" w:firstLineChars="100"/>
              <w:rPr>
                <w:rFonts w:ascii="宋体"/>
                <w:sz w:val="24"/>
                <w:szCs w:val="24"/>
                <w:u w:val="single"/>
              </w:rPr>
            </w:pPr>
            <w:r>
              <w:rPr>
                <w:rFonts w:hint="eastAsia" w:ascii="宋体" w:hAnsi="宋体" w:cs="宋体"/>
                <w:sz w:val="24"/>
                <w:szCs w:val="24"/>
              </w:rPr>
              <w:t>数量</w:t>
            </w:r>
          </w:p>
        </w:tc>
        <w:tc>
          <w:tcPr>
            <w:tcW w:w="1580" w:type="dxa"/>
            <w:tcBorders>
              <w:top w:val="single" w:color="auto" w:sz="4" w:space="0"/>
              <w:left w:val="single" w:color="auto" w:sz="4" w:space="0"/>
              <w:bottom w:val="single" w:color="auto" w:sz="4" w:space="0"/>
            </w:tcBorders>
          </w:tcPr>
          <w:p>
            <w:pPr>
              <w:ind w:right="-670" w:firstLine="480" w:firstLineChars="200"/>
              <w:jc w:val="both"/>
              <w:rPr>
                <w:rFonts w:ascii="宋体" w:hAnsi="宋体" w:cs="宋体"/>
                <w:sz w:val="24"/>
                <w:szCs w:val="24"/>
              </w:rPr>
            </w:pPr>
            <w:r>
              <w:rPr>
                <w:rFonts w:hint="eastAsia" w:ascii="宋体" w:hAnsi="宋体" w:cs="宋体"/>
                <w:sz w:val="24"/>
                <w:szCs w:val="24"/>
              </w:rPr>
              <w:t>单价</w:t>
            </w:r>
          </w:p>
        </w:tc>
        <w:tc>
          <w:tcPr>
            <w:tcW w:w="1236" w:type="dxa"/>
            <w:tcBorders>
              <w:top w:val="single" w:color="auto" w:sz="4" w:space="0"/>
              <w:left w:val="single" w:color="auto" w:sz="4" w:space="0"/>
              <w:bottom w:val="single" w:color="auto" w:sz="4" w:space="0"/>
            </w:tcBorders>
          </w:tcPr>
          <w:p>
            <w:pPr>
              <w:ind w:right="-670"/>
              <w:rPr>
                <w:rFonts w:ascii="宋体" w:hAnsi="宋体" w:cs="宋体"/>
                <w:sz w:val="24"/>
                <w:szCs w:val="24"/>
              </w:rPr>
            </w:pPr>
            <w:r>
              <w:rPr>
                <w:rFonts w:hint="eastAsia" w:ascii="宋体" w:hAnsi="宋体" w:cs="宋体"/>
                <w:sz w:val="24"/>
                <w:szCs w:val="24"/>
              </w:rPr>
              <w:t>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76" w:hRule="atLeast"/>
          <w:jc w:val="center"/>
        </w:trPr>
        <w:tc>
          <w:tcPr>
            <w:tcW w:w="1948" w:type="dxa"/>
            <w:tcBorders>
              <w:top w:val="single" w:color="auto" w:sz="4" w:space="0"/>
              <w:bottom w:val="single" w:color="auto" w:sz="4" w:space="0"/>
              <w:right w:val="single" w:color="auto" w:sz="4" w:space="0"/>
            </w:tcBorders>
            <w:vAlign w:val="center"/>
          </w:tcPr>
          <w:p>
            <w:pPr>
              <w:rPr>
                <w:rFonts w:hint="eastAsia" w:ascii="宋体" w:eastAsia="宋体"/>
                <w:sz w:val="24"/>
                <w:szCs w:val="24"/>
                <w:lang w:eastAsia="zh-CN"/>
              </w:rPr>
            </w:pPr>
            <w:r>
              <w:rPr>
                <w:rFonts w:hint="eastAsia" w:ascii="宋体"/>
                <w:sz w:val="24"/>
                <w:szCs w:val="24"/>
                <w:lang w:eastAsia="zh-CN"/>
              </w:rPr>
              <w:t>芜湖市院前急救体系能力提升120急救终端设备建设采购监理项目</w:t>
            </w:r>
          </w:p>
        </w:tc>
        <w:tc>
          <w:tcPr>
            <w:tcW w:w="1908" w:type="dxa"/>
            <w:tcBorders>
              <w:top w:val="single" w:color="auto" w:sz="4" w:space="0"/>
              <w:bottom w:val="single" w:color="auto" w:sz="4" w:space="0"/>
            </w:tcBorders>
          </w:tcPr>
          <w:p>
            <w:pPr>
              <w:ind w:firstLine="352" w:firstLineChars="147"/>
              <w:jc w:val="center"/>
              <w:rPr>
                <w:rFonts w:ascii="宋体"/>
                <w:sz w:val="24"/>
                <w:szCs w:val="24"/>
              </w:rPr>
            </w:pPr>
          </w:p>
          <w:p>
            <w:pPr>
              <w:ind w:firstLine="352" w:firstLineChars="147"/>
              <w:jc w:val="center"/>
              <w:rPr>
                <w:rFonts w:ascii="宋体"/>
                <w:sz w:val="24"/>
                <w:szCs w:val="24"/>
              </w:rPr>
            </w:pPr>
          </w:p>
          <w:p>
            <w:pPr>
              <w:ind w:firstLine="352" w:firstLineChars="147"/>
              <w:jc w:val="center"/>
              <w:rPr>
                <w:rFonts w:ascii="宋体"/>
                <w:sz w:val="24"/>
                <w:szCs w:val="24"/>
              </w:rPr>
            </w:pPr>
          </w:p>
          <w:p>
            <w:pPr>
              <w:jc w:val="center"/>
              <w:rPr>
                <w:rFonts w:ascii="宋体"/>
                <w:sz w:val="24"/>
                <w:szCs w:val="24"/>
              </w:rPr>
            </w:pPr>
            <w:r>
              <w:rPr>
                <w:rFonts w:hint="eastAsia" w:ascii="宋体"/>
                <w:sz w:val="24"/>
                <w:szCs w:val="24"/>
              </w:rPr>
              <w:t>详见采购需求</w:t>
            </w:r>
          </w:p>
        </w:tc>
        <w:tc>
          <w:tcPr>
            <w:tcW w:w="1276" w:type="dxa"/>
            <w:tcBorders>
              <w:top w:val="single" w:color="auto" w:sz="4" w:space="0"/>
              <w:left w:val="single" w:color="auto" w:sz="4" w:space="0"/>
              <w:bottom w:val="single" w:color="auto" w:sz="4" w:space="0"/>
            </w:tcBorders>
            <w:vAlign w:val="center"/>
          </w:tcPr>
          <w:p>
            <w:pPr>
              <w:ind w:right="-670"/>
              <w:rPr>
                <w:rFonts w:hint="default" w:ascii="宋体" w:hAnsi="宋体" w:eastAsia="宋体" w:cs="宋体"/>
                <w:sz w:val="24"/>
                <w:szCs w:val="24"/>
                <w:highlight w:val="yellow"/>
                <w:lang w:val="en-US" w:eastAsia="zh-CN"/>
              </w:rPr>
            </w:pPr>
            <w:r>
              <w:rPr>
                <w:rFonts w:hint="eastAsia" w:ascii="宋体" w:hAnsi="宋体" w:cs="宋体"/>
                <w:sz w:val="24"/>
                <w:szCs w:val="24"/>
                <w:highlight w:val="none"/>
                <w:lang w:val="en-US" w:eastAsia="zh-CN"/>
              </w:rPr>
              <w:t>1项</w:t>
            </w:r>
          </w:p>
        </w:tc>
        <w:tc>
          <w:tcPr>
            <w:tcW w:w="1580" w:type="dxa"/>
            <w:tcBorders>
              <w:top w:val="single" w:color="auto" w:sz="4" w:space="0"/>
              <w:left w:val="single" w:color="auto" w:sz="4" w:space="0"/>
              <w:bottom w:val="single" w:color="auto" w:sz="4" w:space="0"/>
            </w:tcBorders>
          </w:tcPr>
          <w:p>
            <w:pPr>
              <w:ind w:right="-670"/>
              <w:jc w:val="center"/>
              <w:rPr>
                <w:rFonts w:ascii="宋体" w:hAnsi="宋体" w:cs="宋体"/>
                <w:b/>
                <w:bCs/>
                <w:sz w:val="24"/>
                <w:szCs w:val="24"/>
                <w:highlight w:val="yellow"/>
              </w:rPr>
            </w:pPr>
          </w:p>
        </w:tc>
        <w:tc>
          <w:tcPr>
            <w:tcW w:w="1236" w:type="dxa"/>
            <w:tcBorders>
              <w:top w:val="single" w:color="auto" w:sz="4" w:space="0"/>
              <w:left w:val="single" w:color="auto" w:sz="4" w:space="0"/>
              <w:bottom w:val="single" w:color="auto" w:sz="4" w:space="0"/>
            </w:tcBorders>
          </w:tcPr>
          <w:p>
            <w:pPr>
              <w:ind w:right="-670"/>
              <w:rPr>
                <w:rFonts w:ascii="宋体" w:hAnsi="宋体" w:cs="宋体"/>
                <w:b/>
                <w:bCs/>
                <w:sz w:val="24"/>
                <w:szCs w:val="24"/>
                <w:highlight w:val="yellow"/>
              </w:rPr>
            </w:pPr>
          </w:p>
        </w:tc>
      </w:tr>
    </w:tbl>
    <w:p>
      <w:pPr>
        <w:pStyle w:val="14"/>
        <w:rPr>
          <w:sz w:val="20"/>
          <w:szCs w:val="18"/>
        </w:rPr>
      </w:pPr>
    </w:p>
    <w:p>
      <w:pPr>
        <w:spacing w:line="360" w:lineRule="auto"/>
        <w:ind w:firstLine="440" w:firstLineChars="200"/>
        <w:rPr>
          <w:sz w:val="22"/>
          <w:szCs w:val="22"/>
        </w:rPr>
      </w:pPr>
      <w:r>
        <w:rPr>
          <w:sz w:val="22"/>
          <w:szCs w:val="22"/>
        </w:rPr>
        <w:t>1</w:t>
      </w:r>
      <w:r>
        <w:rPr>
          <w:rFonts w:hint="eastAsia" w:ascii="宋体" w:hAnsi="宋体" w:cs="宋体"/>
          <w:sz w:val="22"/>
          <w:szCs w:val="22"/>
        </w:rPr>
        <w:t>、在合同书正式签署之前，本报价将构成我们双方之间共同遵守的文件内容，对双方具有约束力；</w:t>
      </w:r>
    </w:p>
    <w:p>
      <w:pPr>
        <w:spacing w:line="360" w:lineRule="auto"/>
        <w:ind w:firstLine="440" w:firstLineChars="200"/>
        <w:rPr>
          <w:sz w:val="22"/>
          <w:szCs w:val="22"/>
        </w:rPr>
      </w:pPr>
      <w:r>
        <w:rPr>
          <w:sz w:val="22"/>
          <w:szCs w:val="22"/>
        </w:rPr>
        <w:t>2</w:t>
      </w:r>
      <w:r>
        <w:rPr>
          <w:rFonts w:hint="eastAsia" w:ascii="宋体" w:hAnsi="宋体" w:cs="宋体"/>
          <w:sz w:val="22"/>
          <w:szCs w:val="22"/>
        </w:rPr>
        <w:t>、我方愿意提供采购人可能另外要求的、与报价有关的文件资料，并保证我方已提供和将要提供的文件是真实的、准确的。</w:t>
      </w:r>
    </w:p>
    <w:p>
      <w:pPr>
        <w:spacing w:line="360" w:lineRule="auto"/>
        <w:ind w:firstLine="440" w:firstLineChars="200"/>
        <w:rPr>
          <w:sz w:val="22"/>
          <w:szCs w:val="22"/>
        </w:rPr>
      </w:pPr>
      <w:r>
        <w:rPr>
          <w:sz w:val="22"/>
          <w:szCs w:val="22"/>
        </w:rPr>
        <w:t>3</w:t>
      </w:r>
      <w:r>
        <w:rPr>
          <w:rFonts w:hint="eastAsia" w:ascii="宋体" w:hAnsi="宋体" w:cs="宋体"/>
          <w:sz w:val="22"/>
          <w:szCs w:val="22"/>
        </w:rPr>
        <w:t>、我们完全接受磋商文件中的相关规定。如有违反，采购人有权取消我单位成交资格，另选成交单位。</w:t>
      </w:r>
    </w:p>
    <w:p>
      <w:pPr>
        <w:jc w:val="right"/>
        <w:rPr>
          <w:sz w:val="20"/>
          <w:szCs w:val="20"/>
        </w:rPr>
      </w:pPr>
      <w:r>
        <w:rPr>
          <w:rFonts w:hint="eastAsia" w:ascii="宋体" w:hAnsi="宋体" w:cs="宋体"/>
          <w:sz w:val="24"/>
          <w:szCs w:val="24"/>
        </w:rPr>
        <w:t>法定代表人（签字或盖章）：</w:t>
      </w:r>
    </w:p>
    <w:p>
      <w:pPr>
        <w:wordWrap w:val="0"/>
        <w:jc w:val="right"/>
        <w:rPr>
          <w:rFonts w:ascii="宋体"/>
          <w:sz w:val="24"/>
          <w:szCs w:val="24"/>
        </w:rPr>
      </w:pPr>
      <w:r>
        <w:rPr>
          <w:rFonts w:hint="eastAsia" w:ascii="宋体" w:hAnsi="宋体" w:cs="宋体"/>
          <w:sz w:val="24"/>
          <w:szCs w:val="24"/>
        </w:rPr>
        <w:t xml:space="preserve">日期：  </w:t>
      </w:r>
      <w:r>
        <w:rPr>
          <w:rFonts w:ascii="宋体" w:hAnsi="宋体" w:cs="宋体"/>
          <w:sz w:val="24"/>
          <w:szCs w:val="24"/>
        </w:rPr>
        <w:t xml:space="preserve">  </w:t>
      </w:r>
      <w:r>
        <w:rPr>
          <w:rFonts w:hint="eastAsia" w:ascii="宋体" w:hAnsi="宋体" w:cs="宋体"/>
          <w:sz w:val="24"/>
          <w:szCs w:val="24"/>
        </w:rPr>
        <w:t>年   月   日</w:t>
      </w:r>
    </w:p>
    <w:p>
      <w:pPr>
        <w:adjustRightInd w:val="0"/>
        <w:snapToGrid w:val="0"/>
        <w:spacing w:line="440" w:lineRule="exact"/>
        <w:rPr>
          <w:rFonts w:eastAsia="黑体"/>
          <w:b/>
          <w:bCs/>
          <w:sz w:val="22"/>
          <w:szCs w:val="22"/>
        </w:rPr>
      </w:pPr>
    </w:p>
    <w:p>
      <w:pPr>
        <w:adjustRightInd w:val="0"/>
        <w:snapToGrid w:val="0"/>
        <w:spacing w:line="440" w:lineRule="exact"/>
        <w:rPr>
          <w:rFonts w:eastAsia="黑体"/>
          <w:b/>
          <w:bCs/>
          <w:sz w:val="22"/>
          <w:szCs w:val="22"/>
        </w:rPr>
      </w:pPr>
    </w:p>
    <w:p>
      <w:pPr>
        <w:spacing w:after="312" w:afterLines="100" w:line="360" w:lineRule="auto"/>
        <w:jc w:val="center"/>
        <w:outlineLvl w:val="1"/>
        <w:rPr>
          <w:sz w:val="24"/>
          <w:szCs w:val="24"/>
        </w:rPr>
      </w:pPr>
      <w:r>
        <w:rPr>
          <w:rFonts w:hint="eastAsia" w:ascii="宋体" w:hAnsi="宋体" w:cs="宋体"/>
          <w:b/>
          <w:bCs/>
          <w:sz w:val="28"/>
          <w:szCs w:val="28"/>
        </w:rPr>
        <w:t>（</w:t>
      </w:r>
      <w:r>
        <w:rPr>
          <w:rFonts w:ascii="宋体" w:hAnsi="宋体" w:cs="宋体"/>
          <w:b/>
          <w:bCs/>
          <w:sz w:val="28"/>
          <w:szCs w:val="28"/>
        </w:rPr>
        <w:t>5</w:t>
      </w:r>
      <w:r>
        <w:rPr>
          <w:rFonts w:hint="eastAsia" w:ascii="宋体" w:hAnsi="宋体" w:cs="宋体"/>
          <w:b/>
          <w:bCs/>
          <w:sz w:val="28"/>
          <w:szCs w:val="28"/>
        </w:rPr>
        <w:t>）</w:t>
      </w:r>
      <w:r>
        <w:rPr>
          <w:rFonts w:hint="eastAsia" w:ascii="Times New Roman" w:hAnsi="Times New Roman" w:eastAsia="宋体" w:cs="Times New Roman"/>
          <w:b/>
          <w:bCs/>
          <w:color w:val="auto"/>
          <w:kern w:val="2"/>
          <w:sz w:val="32"/>
          <w:szCs w:val="32"/>
          <w:highlight w:val="none"/>
          <w:lang w:val="en-US" w:eastAsia="zh-CN" w:bidi="ar-SA"/>
        </w:rPr>
        <w:t>供应商按</w:t>
      </w:r>
      <w:r>
        <w:rPr>
          <w:rFonts w:hint="eastAsia" w:cs="Times New Roman"/>
          <w:b/>
          <w:bCs/>
          <w:color w:val="auto"/>
          <w:kern w:val="2"/>
          <w:sz w:val="32"/>
          <w:szCs w:val="32"/>
          <w:highlight w:val="none"/>
          <w:lang w:val="en-US" w:eastAsia="zh-CN" w:bidi="ar-SA"/>
        </w:rPr>
        <w:t>磋商</w:t>
      </w:r>
      <w:r>
        <w:rPr>
          <w:rFonts w:hint="eastAsia" w:ascii="Times New Roman" w:hAnsi="Times New Roman" w:eastAsia="宋体" w:cs="Times New Roman"/>
          <w:b/>
          <w:bCs/>
          <w:color w:val="auto"/>
          <w:kern w:val="2"/>
          <w:sz w:val="32"/>
          <w:szCs w:val="32"/>
          <w:highlight w:val="none"/>
          <w:lang w:val="en-US" w:eastAsia="zh-CN" w:bidi="ar-SA"/>
        </w:rPr>
        <w:t>文件《采购需求》要求及评分办法要求提供证明材料</w:t>
      </w:r>
    </w:p>
    <w:p>
      <w:pPr>
        <w:pStyle w:val="4"/>
        <w:spacing w:before="80" w:after="80" w:line="412" w:lineRule="auto"/>
        <w:rPr>
          <w:sz w:val="20"/>
          <w:szCs w:val="20"/>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Noto Sans CJK JP Regular">
    <w:altName w:val="Segoe Print"/>
    <w:panose1 w:val="00000000000000000000"/>
    <w:charset w:val="00"/>
    <w:family w:val="swiss"/>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隶书">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8306"/>
      </w:tabs>
      <w:ind w:right="360"/>
      <w:rPr>
        <w:rFonts w:ascii="楷体_GB2312" w:eastAsia="楷体_GB2312"/>
        <w:spacing w:val="20"/>
      </w:rPr>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隶书" w:eastAsia="隶书"/>
        <w:spacing w:val="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M0NjFmYTBiM2NkMTkwMzFkMjMyNzUyZTRlNWMwMTQifQ=="/>
  </w:docVars>
  <w:rsids>
    <w:rsidRoot w:val="009335B6"/>
    <w:rsid w:val="00001B4A"/>
    <w:rsid w:val="00016738"/>
    <w:rsid w:val="00021A68"/>
    <w:rsid w:val="000224B3"/>
    <w:rsid w:val="0002526D"/>
    <w:rsid w:val="00044E1E"/>
    <w:rsid w:val="000630E5"/>
    <w:rsid w:val="000650EE"/>
    <w:rsid w:val="00083698"/>
    <w:rsid w:val="000A441C"/>
    <w:rsid w:val="000B0F97"/>
    <w:rsid w:val="000C1F9E"/>
    <w:rsid w:val="000C3D57"/>
    <w:rsid w:val="000C5960"/>
    <w:rsid w:val="000E22EC"/>
    <w:rsid w:val="000F309F"/>
    <w:rsid w:val="000F5989"/>
    <w:rsid w:val="00113F36"/>
    <w:rsid w:val="001210F3"/>
    <w:rsid w:val="00141CCD"/>
    <w:rsid w:val="00146E03"/>
    <w:rsid w:val="00146F93"/>
    <w:rsid w:val="00150360"/>
    <w:rsid w:val="00152EFE"/>
    <w:rsid w:val="00153FE0"/>
    <w:rsid w:val="00164FA9"/>
    <w:rsid w:val="001817BF"/>
    <w:rsid w:val="00185A44"/>
    <w:rsid w:val="00187D10"/>
    <w:rsid w:val="00193B42"/>
    <w:rsid w:val="001B2815"/>
    <w:rsid w:val="001B4DCD"/>
    <w:rsid w:val="001C6BB6"/>
    <w:rsid w:val="001E1D99"/>
    <w:rsid w:val="001E3BD7"/>
    <w:rsid w:val="001E588B"/>
    <w:rsid w:val="001F17CD"/>
    <w:rsid w:val="001F764F"/>
    <w:rsid w:val="00200190"/>
    <w:rsid w:val="00203457"/>
    <w:rsid w:val="00213CFE"/>
    <w:rsid w:val="00226EC8"/>
    <w:rsid w:val="00231F52"/>
    <w:rsid w:val="002356C3"/>
    <w:rsid w:val="002369C5"/>
    <w:rsid w:val="00240CF4"/>
    <w:rsid w:val="00242CA3"/>
    <w:rsid w:val="00244CD7"/>
    <w:rsid w:val="00254254"/>
    <w:rsid w:val="00256812"/>
    <w:rsid w:val="00264EDE"/>
    <w:rsid w:val="00267186"/>
    <w:rsid w:val="00267457"/>
    <w:rsid w:val="00272F1A"/>
    <w:rsid w:val="0028060C"/>
    <w:rsid w:val="002952A9"/>
    <w:rsid w:val="002A49E4"/>
    <w:rsid w:val="002C0BDB"/>
    <w:rsid w:val="002C756B"/>
    <w:rsid w:val="002D3502"/>
    <w:rsid w:val="002F1F61"/>
    <w:rsid w:val="002F6725"/>
    <w:rsid w:val="003030A5"/>
    <w:rsid w:val="00303CD3"/>
    <w:rsid w:val="00305B15"/>
    <w:rsid w:val="00322573"/>
    <w:rsid w:val="00323FFC"/>
    <w:rsid w:val="00335E90"/>
    <w:rsid w:val="003550ED"/>
    <w:rsid w:val="00363266"/>
    <w:rsid w:val="0036594B"/>
    <w:rsid w:val="003770FD"/>
    <w:rsid w:val="00380581"/>
    <w:rsid w:val="00381257"/>
    <w:rsid w:val="003A4DE0"/>
    <w:rsid w:val="003B2E77"/>
    <w:rsid w:val="003B6A30"/>
    <w:rsid w:val="003E4039"/>
    <w:rsid w:val="004123EF"/>
    <w:rsid w:val="0042337B"/>
    <w:rsid w:val="00436C27"/>
    <w:rsid w:val="00440590"/>
    <w:rsid w:val="00451464"/>
    <w:rsid w:val="004642E0"/>
    <w:rsid w:val="0047191A"/>
    <w:rsid w:val="00473A57"/>
    <w:rsid w:val="0048456D"/>
    <w:rsid w:val="004A4D2D"/>
    <w:rsid w:val="004C1D8F"/>
    <w:rsid w:val="004D3D7A"/>
    <w:rsid w:val="004D6122"/>
    <w:rsid w:val="004D6C9B"/>
    <w:rsid w:val="004F28F8"/>
    <w:rsid w:val="00501510"/>
    <w:rsid w:val="005126AF"/>
    <w:rsid w:val="00514B6B"/>
    <w:rsid w:val="0052546B"/>
    <w:rsid w:val="0053748C"/>
    <w:rsid w:val="00544977"/>
    <w:rsid w:val="00546D26"/>
    <w:rsid w:val="005523E5"/>
    <w:rsid w:val="00556B30"/>
    <w:rsid w:val="00560812"/>
    <w:rsid w:val="0056140C"/>
    <w:rsid w:val="005615DA"/>
    <w:rsid w:val="00570ED6"/>
    <w:rsid w:val="005763BF"/>
    <w:rsid w:val="00596BAF"/>
    <w:rsid w:val="005B5859"/>
    <w:rsid w:val="005C37F9"/>
    <w:rsid w:val="005D0021"/>
    <w:rsid w:val="005E114D"/>
    <w:rsid w:val="005E3619"/>
    <w:rsid w:val="006220D9"/>
    <w:rsid w:val="00622B41"/>
    <w:rsid w:val="00622B6D"/>
    <w:rsid w:val="00625A86"/>
    <w:rsid w:val="006316FB"/>
    <w:rsid w:val="00634EEB"/>
    <w:rsid w:val="006458C5"/>
    <w:rsid w:val="00660F0E"/>
    <w:rsid w:val="0066246A"/>
    <w:rsid w:val="00662AC9"/>
    <w:rsid w:val="00662EA0"/>
    <w:rsid w:val="00664498"/>
    <w:rsid w:val="00686674"/>
    <w:rsid w:val="0069301B"/>
    <w:rsid w:val="006A77E5"/>
    <w:rsid w:val="006B2877"/>
    <w:rsid w:val="006C1ED1"/>
    <w:rsid w:val="006D0664"/>
    <w:rsid w:val="006E7D84"/>
    <w:rsid w:val="006F0A74"/>
    <w:rsid w:val="006F5526"/>
    <w:rsid w:val="006F715D"/>
    <w:rsid w:val="00705479"/>
    <w:rsid w:val="00744FD1"/>
    <w:rsid w:val="00764977"/>
    <w:rsid w:val="0076508F"/>
    <w:rsid w:val="00765B66"/>
    <w:rsid w:val="0077007E"/>
    <w:rsid w:val="00771730"/>
    <w:rsid w:val="0077432F"/>
    <w:rsid w:val="00780BFA"/>
    <w:rsid w:val="0078600B"/>
    <w:rsid w:val="007911BD"/>
    <w:rsid w:val="007A0638"/>
    <w:rsid w:val="007B0439"/>
    <w:rsid w:val="007B4798"/>
    <w:rsid w:val="007B5B70"/>
    <w:rsid w:val="007B5B83"/>
    <w:rsid w:val="007B5DE0"/>
    <w:rsid w:val="007C7779"/>
    <w:rsid w:val="007D63C9"/>
    <w:rsid w:val="007F6845"/>
    <w:rsid w:val="0081397E"/>
    <w:rsid w:val="008271C7"/>
    <w:rsid w:val="00831CD5"/>
    <w:rsid w:val="00841043"/>
    <w:rsid w:val="00843812"/>
    <w:rsid w:val="008475FB"/>
    <w:rsid w:val="00853ACA"/>
    <w:rsid w:val="00854EBA"/>
    <w:rsid w:val="00880A15"/>
    <w:rsid w:val="008A0EDB"/>
    <w:rsid w:val="008B4F30"/>
    <w:rsid w:val="008B756B"/>
    <w:rsid w:val="008C48DE"/>
    <w:rsid w:val="008C4B4F"/>
    <w:rsid w:val="008F2C88"/>
    <w:rsid w:val="008F61E7"/>
    <w:rsid w:val="008F6A6F"/>
    <w:rsid w:val="00900317"/>
    <w:rsid w:val="00901245"/>
    <w:rsid w:val="009050AF"/>
    <w:rsid w:val="00906F49"/>
    <w:rsid w:val="0090718A"/>
    <w:rsid w:val="00912E1E"/>
    <w:rsid w:val="00920F5F"/>
    <w:rsid w:val="009316B7"/>
    <w:rsid w:val="009328C3"/>
    <w:rsid w:val="009335B6"/>
    <w:rsid w:val="00954893"/>
    <w:rsid w:val="00961BF6"/>
    <w:rsid w:val="00963186"/>
    <w:rsid w:val="00963252"/>
    <w:rsid w:val="00986BAC"/>
    <w:rsid w:val="009900E4"/>
    <w:rsid w:val="009A055D"/>
    <w:rsid w:val="009B71E0"/>
    <w:rsid w:val="009C745C"/>
    <w:rsid w:val="009D17B8"/>
    <w:rsid w:val="009D2BD8"/>
    <w:rsid w:val="009D67AF"/>
    <w:rsid w:val="009D718F"/>
    <w:rsid w:val="009E6C31"/>
    <w:rsid w:val="009F4D8E"/>
    <w:rsid w:val="009F6669"/>
    <w:rsid w:val="009F6F3E"/>
    <w:rsid w:val="009F7E16"/>
    <w:rsid w:val="00A155A6"/>
    <w:rsid w:val="00A211C3"/>
    <w:rsid w:val="00A272A3"/>
    <w:rsid w:val="00A32150"/>
    <w:rsid w:val="00A45380"/>
    <w:rsid w:val="00A45AA6"/>
    <w:rsid w:val="00A51E2D"/>
    <w:rsid w:val="00A65596"/>
    <w:rsid w:val="00A72583"/>
    <w:rsid w:val="00A86039"/>
    <w:rsid w:val="00A93A3D"/>
    <w:rsid w:val="00AA77E0"/>
    <w:rsid w:val="00AB49EB"/>
    <w:rsid w:val="00AB7CD7"/>
    <w:rsid w:val="00AC1025"/>
    <w:rsid w:val="00AC2F1A"/>
    <w:rsid w:val="00AC32B2"/>
    <w:rsid w:val="00AC7FC8"/>
    <w:rsid w:val="00B114C0"/>
    <w:rsid w:val="00B31243"/>
    <w:rsid w:val="00B3749C"/>
    <w:rsid w:val="00B41B95"/>
    <w:rsid w:val="00B46949"/>
    <w:rsid w:val="00B55D53"/>
    <w:rsid w:val="00B6066F"/>
    <w:rsid w:val="00B633BD"/>
    <w:rsid w:val="00B73B79"/>
    <w:rsid w:val="00B830E7"/>
    <w:rsid w:val="00B916B0"/>
    <w:rsid w:val="00BB3CA2"/>
    <w:rsid w:val="00BB7912"/>
    <w:rsid w:val="00C076D9"/>
    <w:rsid w:val="00C24A4C"/>
    <w:rsid w:val="00C3521F"/>
    <w:rsid w:val="00C360C1"/>
    <w:rsid w:val="00C46642"/>
    <w:rsid w:val="00C46764"/>
    <w:rsid w:val="00C467E7"/>
    <w:rsid w:val="00C473BF"/>
    <w:rsid w:val="00C6479F"/>
    <w:rsid w:val="00C84C53"/>
    <w:rsid w:val="00C90317"/>
    <w:rsid w:val="00C91659"/>
    <w:rsid w:val="00C96690"/>
    <w:rsid w:val="00C970AE"/>
    <w:rsid w:val="00CA0318"/>
    <w:rsid w:val="00CA75FF"/>
    <w:rsid w:val="00CD2167"/>
    <w:rsid w:val="00CD4908"/>
    <w:rsid w:val="00CD5C07"/>
    <w:rsid w:val="00CE0F6A"/>
    <w:rsid w:val="00D0438A"/>
    <w:rsid w:val="00D17733"/>
    <w:rsid w:val="00D23037"/>
    <w:rsid w:val="00D26F5C"/>
    <w:rsid w:val="00D45CA8"/>
    <w:rsid w:val="00D62A1A"/>
    <w:rsid w:val="00D75348"/>
    <w:rsid w:val="00D800EA"/>
    <w:rsid w:val="00D82259"/>
    <w:rsid w:val="00D900F8"/>
    <w:rsid w:val="00D9036E"/>
    <w:rsid w:val="00DA622A"/>
    <w:rsid w:val="00DA72AF"/>
    <w:rsid w:val="00DB607F"/>
    <w:rsid w:val="00DB6ED3"/>
    <w:rsid w:val="00DE1222"/>
    <w:rsid w:val="00DF59AC"/>
    <w:rsid w:val="00E022AE"/>
    <w:rsid w:val="00E14230"/>
    <w:rsid w:val="00E15955"/>
    <w:rsid w:val="00E16159"/>
    <w:rsid w:val="00E22393"/>
    <w:rsid w:val="00E30FC6"/>
    <w:rsid w:val="00E42534"/>
    <w:rsid w:val="00E44B86"/>
    <w:rsid w:val="00E47A80"/>
    <w:rsid w:val="00E51DC2"/>
    <w:rsid w:val="00E51DEF"/>
    <w:rsid w:val="00E54FB7"/>
    <w:rsid w:val="00E55229"/>
    <w:rsid w:val="00E57703"/>
    <w:rsid w:val="00E62E21"/>
    <w:rsid w:val="00E776F3"/>
    <w:rsid w:val="00E77AEB"/>
    <w:rsid w:val="00E82FBF"/>
    <w:rsid w:val="00E8387A"/>
    <w:rsid w:val="00EA0580"/>
    <w:rsid w:val="00EB5B1C"/>
    <w:rsid w:val="00EC4185"/>
    <w:rsid w:val="00ED03BE"/>
    <w:rsid w:val="00ED23C4"/>
    <w:rsid w:val="00ED6224"/>
    <w:rsid w:val="00EF459E"/>
    <w:rsid w:val="00F04841"/>
    <w:rsid w:val="00F10A41"/>
    <w:rsid w:val="00F10FD0"/>
    <w:rsid w:val="00F15A44"/>
    <w:rsid w:val="00F25BCD"/>
    <w:rsid w:val="00F3754A"/>
    <w:rsid w:val="00F42C2B"/>
    <w:rsid w:val="00F44047"/>
    <w:rsid w:val="00F50E80"/>
    <w:rsid w:val="00F513CF"/>
    <w:rsid w:val="00F76868"/>
    <w:rsid w:val="00F82620"/>
    <w:rsid w:val="00F96B86"/>
    <w:rsid w:val="00FA1AED"/>
    <w:rsid w:val="00FA5D8C"/>
    <w:rsid w:val="00FC167D"/>
    <w:rsid w:val="00FD756C"/>
    <w:rsid w:val="00FE1535"/>
    <w:rsid w:val="00FE3CBA"/>
    <w:rsid w:val="00FE746B"/>
    <w:rsid w:val="00FF6A59"/>
    <w:rsid w:val="01133163"/>
    <w:rsid w:val="09760910"/>
    <w:rsid w:val="0AC4039A"/>
    <w:rsid w:val="0AD67B4A"/>
    <w:rsid w:val="0C617ADE"/>
    <w:rsid w:val="0E0F0AC8"/>
    <w:rsid w:val="14725A0B"/>
    <w:rsid w:val="16866999"/>
    <w:rsid w:val="16AA211A"/>
    <w:rsid w:val="198A7B31"/>
    <w:rsid w:val="1A6B0E0C"/>
    <w:rsid w:val="1A76606E"/>
    <w:rsid w:val="1A94561E"/>
    <w:rsid w:val="1B7B486B"/>
    <w:rsid w:val="1D5E0C09"/>
    <w:rsid w:val="22862366"/>
    <w:rsid w:val="23773986"/>
    <w:rsid w:val="239E0B5F"/>
    <w:rsid w:val="24E31D7C"/>
    <w:rsid w:val="29E87D09"/>
    <w:rsid w:val="2BC32325"/>
    <w:rsid w:val="2D9D39C2"/>
    <w:rsid w:val="2FC52C0C"/>
    <w:rsid w:val="374E4C99"/>
    <w:rsid w:val="3BFA45A6"/>
    <w:rsid w:val="3E17748A"/>
    <w:rsid w:val="430B7316"/>
    <w:rsid w:val="45EB5F81"/>
    <w:rsid w:val="464A5D3E"/>
    <w:rsid w:val="46F41B4F"/>
    <w:rsid w:val="4AF9185D"/>
    <w:rsid w:val="4B5F6257"/>
    <w:rsid w:val="4C4B5140"/>
    <w:rsid w:val="4C624E17"/>
    <w:rsid w:val="4DA0170C"/>
    <w:rsid w:val="4DA02338"/>
    <w:rsid w:val="4DAF7369"/>
    <w:rsid w:val="4E324836"/>
    <w:rsid w:val="4E926F32"/>
    <w:rsid w:val="4EA559DF"/>
    <w:rsid w:val="50342374"/>
    <w:rsid w:val="50A3226F"/>
    <w:rsid w:val="50B929EB"/>
    <w:rsid w:val="55B12146"/>
    <w:rsid w:val="55F34B34"/>
    <w:rsid w:val="59445138"/>
    <w:rsid w:val="5BE00A32"/>
    <w:rsid w:val="5F6C541F"/>
    <w:rsid w:val="60262374"/>
    <w:rsid w:val="60557DE7"/>
    <w:rsid w:val="60780024"/>
    <w:rsid w:val="60EB5EDB"/>
    <w:rsid w:val="627735C7"/>
    <w:rsid w:val="652019CD"/>
    <w:rsid w:val="683954B3"/>
    <w:rsid w:val="6CEE7460"/>
    <w:rsid w:val="6FAD5FD9"/>
    <w:rsid w:val="71432249"/>
    <w:rsid w:val="72277430"/>
    <w:rsid w:val="74E32DDD"/>
    <w:rsid w:val="75E36766"/>
    <w:rsid w:val="760F0E8C"/>
    <w:rsid w:val="77E00DD8"/>
    <w:rsid w:val="77F6176A"/>
    <w:rsid w:val="789609AB"/>
    <w:rsid w:val="796F48C5"/>
    <w:rsid w:val="7BDB4BF6"/>
    <w:rsid w:val="7D6C7EBF"/>
    <w:rsid w:val="7D8727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1"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iPriority="0" w:semiHidden="0"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name="HTML Acronym"/>
    <w:lsdException w:uiPriority="99" w:name="HTML Address" w:locked="1"/>
    <w:lsdException w:qFormat="1" w:unhideWhenUsed="0" w:uiPriority="99" w:name="HTML Cite"/>
    <w:lsdException w:qFormat="1" w:unhideWhenUsed="0" w:uiPriority="99" w:name="HTML Code"/>
    <w:lsdException w:qFormat="1" w:unhideWhenUsed="0" w:uiPriority="99" w:name="HTML Definition"/>
    <w:lsdException w:qFormat="1" w:unhideWhenUsed="0" w:uiPriority="99" w:name="HTML Keyboard"/>
    <w:lsdException w:uiPriority="99" w:name="HTML Preformatted" w:locked="1"/>
    <w:lsdException w:qFormat="1" w:unhideWhenUsed="0" w:uiPriority="99" w:name="HTML Sample"/>
    <w:lsdException w:qFormat="1" w:unhideWhenUsed="0" w:uiPriority="99" w:name="HTML Typewriter"/>
    <w:lsdException w:qFormat="1" w:unhideWhenUsed="0" w:uiPriority="99"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0"/>
    <w:qFormat/>
    <w:uiPriority w:val="99"/>
    <w:pPr>
      <w:keepNext/>
      <w:keepLines/>
      <w:spacing w:before="340" w:after="330" w:line="578" w:lineRule="auto"/>
      <w:outlineLvl w:val="0"/>
    </w:pPr>
    <w:rPr>
      <w:b/>
      <w:bCs/>
      <w:kern w:val="44"/>
      <w:sz w:val="44"/>
      <w:szCs w:val="44"/>
    </w:rPr>
  </w:style>
  <w:style w:type="paragraph" w:styleId="2">
    <w:name w:val="heading 2"/>
    <w:basedOn w:val="1"/>
    <w:next w:val="1"/>
    <w:link w:val="41"/>
    <w:qFormat/>
    <w:uiPriority w:val="99"/>
    <w:pPr>
      <w:keepNext/>
      <w:keepLines/>
      <w:spacing w:before="260" w:after="260" w:line="416" w:lineRule="auto"/>
      <w:ind w:firstLine="628"/>
      <w:jc w:val="center"/>
      <w:outlineLvl w:val="1"/>
    </w:pPr>
    <w:rPr>
      <w:rFonts w:ascii="Arial" w:hAnsi="Arial" w:eastAsia="黑体"/>
      <w:b/>
      <w:bCs/>
      <w:kern w:val="0"/>
      <w:sz w:val="32"/>
      <w:szCs w:val="32"/>
    </w:rPr>
  </w:style>
  <w:style w:type="paragraph" w:styleId="4">
    <w:name w:val="heading 3"/>
    <w:basedOn w:val="1"/>
    <w:next w:val="1"/>
    <w:link w:val="42"/>
    <w:qFormat/>
    <w:uiPriority w:val="99"/>
    <w:pPr>
      <w:keepNext/>
      <w:keepLines/>
      <w:spacing w:before="260" w:after="260" w:line="416" w:lineRule="auto"/>
      <w:outlineLvl w:val="2"/>
    </w:pPr>
    <w:rPr>
      <w:b/>
      <w:bCs/>
      <w:kern w:val="0"/>
      <w:sz w:val="32"/>
      <w:szCs w:val="32"/>
    </w:rPr>
  </w:style>
  <w:style w:type="paragraph" w:styleId="5">
    <w:name w:val="heading 4"/>
    <w:basedOn w:val="1"/>
    <w:next w:val="1"/>
    <w:qFormat/>
    <w:uiPriority w:val="1"/>
    <w:pPr>
      <w:autoSpaceDE w:val="0"/>
      <w:autoSpaceDN w:val="0"/>
      <w:ind w:left="460"/>
      <w:jc w:val="left"/>
      <w:outlineLvl w:val="3"/>
    </w:pPr>
    <w:rPr>
      <w:rFonts w:ascii="宋体" w:hAnsi="宋体" w:cs="宋体"/>
      <w:b/>
      <w:bCs/>
      <w:kern w:val="0"/>
      <w:sz w:val="24"/>
      <w:szCs w:val="24"/>
      <w:lang w:val="zh-CN" w:bidi="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style>
  <w:style w:type="paragraph" w:styleId="7">
    <w:name w:val="Document Map"/>
    <w:basedOn w:val="1"/>
    <w:link w:val="45"/>
    <w:semiHidden/>
    <w:qFormat/>
    <w:uiPriority w:val="99"/>
    <w:rPr>
      <w:rFonts w:ascii="宋体"/>
      <w:kern w:val="0"/>
      <w:sz w:val="18"/>
      <w:szCs w:val="18"/>
    </w:rPr>
  </w:style>
  <w:style w:type="paragraph" w:styleId="8">
    <w:name w:val="annotation text"/>
    <w:basedOn w:val="1"/>
    <w:link w:val="43"/>
    <w:semiHidden/>
    <w:qFormat/>
    <w:uiPriority w:val="99"/>
    <w:pPr>
      <w:jc w:val="left"/>
    </w:pPr>
    <w:rPr>
      <w:kern w:val="0"/>
    </w:rPr>
  </w:style>
  <w:style w:type="paragraph" w:styleId="9">
    <w:name w:val="Body Text 3"/>
    <w:basedOn w:val="1"/>
    <w:link w:val="46"/>
    <w:qFormat/>
    <w:uiPriority w:val="99"/>
    <w:pPr>
      <w:spacing w:beforeLines="50" w:afterLines="50" w:line="460" w:lineRule="exact"/>
      <w:jc w:val="center"/>
    </w:pPr>
    <w:rPr>
      <w:rFonts w:ascii="仿宋_GB2312" w:hAnsi="Arial" w:eastAsia="仿宋_GB2312"/>
      <w:kern w:val="0"/>
      <w:sz w:val="28"/>
      <w:szCs w:val="28"/>
    </w:rPr>
  </w:style>
  <w:style w:type="paragraph" w:styleId="10">
    <w:name w:val="Body Text"/>
    <w:basedOn w:val="1"/>
    <w:qFormat/>
    <w:locked/>
    <w:uiPriority w:val="1"/>
    <w:pPr>
      <w:autoSpaceDE w:val="0"/>
      <w:autoSpaceDN w:val="0"/>
      <w:jc w:val="left"/>
    </w:pPr>
    <w:rPr>
      <w:rFonts w:ascii="宋体" w:hAnsi="宋体" w:cs="宋体"/>
      <w:kern w:val="0"/>
      <w:sz w:val="24"/>
      <w:szCs w:val="24"/>
      <w:lang w:val="zh-CN" w:bidi="zh-CN"/>
    </w:rPr>
  </w:style>
  <w:style w:type="paragraph" w:styleId="11">
    <w:name w:val="Body Text Indent"/>
    <w:basedOn w:val="1"/>
    <w:next w:val="12"/>
    <w:link w:val="47"/>
    <w:qFormat/>
    <w:uiPriority w:val="99"/>
    <w:pPr>
      <w:ind w:firstLine="660"/>
    </w:pPr>
    <w:rPr>
      <w:rFonts w:ascii="宋体" w:hAnsi="宋体"/>
      <w:color w:val="000000"/>
      <w:kern w:val="0"/>
      <w:sz w:val="24"/>
      <w:szCs w:val="24"/>
    </w:rPr>
  </w:style>
  <w:style w:type="paragraph" w:styleId="12">
    <w:name w:val="envelope return"/>
    <w:basedOn w:val="1"/>
    <w:qFormat/>
    <w:locked/>
    <w:uiPriority w:val="0"/>
    <w:pPr>
      <w:snapToGrid w:val="0"/>
    </w:pPr>
    <w:rPr>
      <w:rFonts w:ascii="Arial" w:hAnsi="Arial"/>
    </w:rPr>
  </w:style>
  <w:style w:type="paragraph" w:styleId="13">
    <w:name w:val="index 4"/>
    <w:basedOn w:val="1"/>
    <w:next w:val="1"/>
    <w:qFormat/>
    <w:locked/>
    <w:uiPriority w:val="99"/>
    <w:pPr>
      <w:ind w:left="600" w:leftChars="600"/>
    </w:pPr>
    <w:rPr>
      <w:rFonts w:ascii="Calibri" w:hAnsi="Calibri"/>
    </w:rPr>
  </w:style>
  <w:style w:type="paragraph" w:styleId="14">
    <w:name w:val="Plain Text"/>
    <w:basedOn w:val="1"/>
    <w:link w:val="55"/>
    <w:qFormat/>
    <w:uiPriority w:val="99"/>
    <w:rPr>
      <w:rFonts w:ascii="宋体" w:hAnsi="Courier New"/>
      <w:kern w:val="0"/>
      <w:szCs w:val="20"/>
    </w:rPr>
  </w:style>
  <w:style w:type="paragraph" w:styleId="15">
    <w:name w:val="Date"/>
    <w:basedOn w:val="1"/>
    <w:next w:val="1"/>
    <w:link w:val="49"/>
    <w:qFormat/>
    <w:uiPriority w:val="99"/>
    <w:rPr>
      <w:b/>
      <w:bCs/>
      <w:kern w:val="0"/>
      <w:sz w:val="28"/>
      <w:szCs w:val="28"/>
    </w:rPr>
  </w:style>
  <w:style w:type="paragraph" w:styleId="16">
    <w:name w:val="Balloon Text"/>
    <w:basedOn w:val="1"/>
    <w:link w:val="50"/>
    <w:semiHidden/>
    <w:qFormat/>
    <w:uiPriority w:val="99"/>
    <w:rPr>
      <w:kern w:val="0"/>
      <w:sz w:val="18"/>
      <w:szCs w:val="18"/>
    </w:rPr>
  </w:style>
  <w:style w:type="paragraph" w:styleId="17">
    <w:name w:val="footer"/>
    <w:basedOn w:val="1"/>
    <w:link w:val="54"/>
    <w:qFormat/>
    <w:uiPriority w:val="99"/>
    <w:pPr>
      <w:tabs>
        <w:tab w:val="center" w:pos="4153"/>
        <w:tab w:val="right" w:pos="8306"/>
      </w:tabs>
      <w:snapToGrid w:val="0"/>
      <w:jc w:val="left"/>
    </w:pPr>
    <w:rPr>
      <w:kern w:val="0"/>
      <w:sz w:val="18"/>
      <w:szCs w:val="20"/>
    </w:rPr>
  </w:style>
  <w:style w:type="paragraph" w:styleId="18">
    <w:name w:val="header"/>
    <w:basedOn w:val="1"/>
    <w:link w:val="53"/>
    <w:qFormat/>
    <w:uiPriority w:val="99"/>
    <w:pPr>
      <w:pBdr>
        <w:bottom w:val="single" w:color="auto" w:sz="6" w:space="1"/>
      </w:pBdr>
      <w:tabs>
        <w:tab w:val="center" w:pos="4153"/>
        <w:tab w:val="right" w:pos="8306"/>
      </w:tabs>
      <w:snapToGrid w:val="0"/>
      <w:jc w:val="center"/>
    </w:pPr>
    <w:rPr>
      <w:kern w:val="0"/>
      <w:sz w:val="18"/>
      <w:szCs w:val="20"/>
    </w:rPr>
  </w:style>
  <w:style w:type="paragraph" w:styleId="19">
    <w:name w:val="toc 1"/>
    <w:basedOn w:val="1"/>
    <w:next w:val="1"/>
    <w:semiHidden/>
    <w:qFormat/>
    <w:uiPriority w:val="99"/>
    <w:rPr>
      <w:sz w:val="24"/>
      <w:szCs w:val="24"/>
    </w:rPr>
  </w:style>
  <w:style w:type="paragraph" w:styleId="20">
    <w:name w:val="toc 2"/>
    <w:basedOn w:val="1"/>
    <w:next w:val="1"/>
    <w:semiHidden/>
    <w:qFormat/>
    <w:uiPriority w:val="99"/>
    <w:pPr>
      <w:spacing w:before="100" w:beforeAutospacing="1" w:after="100" w:afterAutospacing="1"/>
      <w:ind w:left="420" w:leftChars="200"/>
    </w:pPr>
    <w:rPr>
      <w:sz w:val="24"/>
      <w:szCs w:val="24"/>
    </w:rPr>
  </w:style>
  <w:style w:type="paragraph" w:styleId="21">
    <w:name w:val="Normal (Web)"/>
    <w:basedOn w:val="1"/>
    <w:qFormat/>
    <w:uiPriority w:val="99"/>
    <w:pPr>
      <w:widowControl/>
      <w:jc w:val="left"/>
    </w:pPr>
    <w:rPr>
      <w:rFonts w:ascii="宋体" w:hAnsi="宋体" w:cs="宋体"/>
      <w:kern w:val="0"/>
      <w:sz w:val="24"/>
      <w:szCs w:val="24"/>
    </w:rPr>
  </w:style>
  <w:style w:type="paragraph" w:styleId="22">
    <w:name w:val="annotation subject"/>
    <w:basedOn w:val="8"/>
    <w:next w:val="8"/>
    <w:link w:val="44"/>
    <w:semiHidden/>
    <w:qFormat/>
    <w:uiPriority w:val="99"/>
    <w:rPr>
      <w:b/>
      <w:bCs/>
    </w:rPr>
  </w:style>
  <w:style w:type="paragraph" w:styleId="23">
    <w:name w:val="Body Text First Indent 2"/>
    <w:basedOn w:val="11"/>
    <w:next w:val="6"/>
    <w:unhideWhenUsed/>
    <w:qFormat/>
    <w:locked/>
    <w:uiPriority w:val="0"/>
    <w:pPr>
      <w:spacing w:after="120"/>
      <w:ind w:firstLine="420" w:firstLineChars="200"/>
    </w:pPr>
    <w:rPr>
      <w:szCs w:val="24"/>
    </w:rPr>
  </w:style>
  <w:style w:type="table" w:styleId="25">
    <w:name w:val="Table Grid"/>
    <w:basedOn w:val="24"/>
    <w:qFormat/>
    <w:uiPriority w:val="0"/>
    <w:pPr>
      <w:widowControl w:val="0"/>
      <w:jc w:val="both"/>
    </w:pPr>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99"/>
    <w:rPr>
      <w:rFonts w:cs="Times New Roman"/>
    </w:rPr>
  </w:style>
  <w:style w:type="character" w:styleId="28">
    <w:name w:val="FollowedHyperlink"/>
    <w:semiHidden/>
    <w:qFormat/>
    <w:uiPriority w:val="99"/>
    <w:rPr>
      <w:rFonts w:cs="Times New Roman"/>
      <w:color w:val="800080"/>
      <w:u w:val="none"/>
    </w:rPr>
  </w:style>
  <w:style w:type="character" w:styleId="29">
    <w:name w:val="Emphasis"/>
    <w:qFormat/>
    <w:uiPriority w:val="99"/>
    <w:rPr>
      <w:rFonts w:cs="Times New Roman"/>
    </w:rPr>
  </w:style>
  <w:style w:type="character" w:styleId="30">
    <w:name w:val="HTML Definition"/>
    <w:semiHidden/>
    <w:qFormat/>
    <w:uiPriority w:val="99"/>
    <w:rPr>
      <w:rFonts w:cs="Times New Roman"/>
    </w:rPr>
  </w:style>
  <w:style w:type="character" w:styleId="31">
    <w:name w:val="HTML Typewriter"/>
    <w:semiHidden/>
    <w:qFormat/>
    <w:uiPriority w:val="99"/>
    <w:rPr>
      <w:rFonts w:ascii="monospace" w:hAnsi="monospace" w:cs="Times New Roman"/>
      <w:sz w:val="20"/>
    </w:rPr>
  </w:style>
  <w:style w:type="character" w:styleId="32">
    <w:name w:val="HTML Acronym"/>
    <w:semiHidden/>
    <w:qFormat/>
    <w:uiPriority w:val="99"/>
    <w:rPr>
      <w:rFonts w:cs="Times New Roman"/>
    </w:rPr>
  </w:style>
  <w:style w:type="character" w:styleId="33">
    <w:name w:val="HTML Variable"/>
    <w:semiHidden/>
    <w:qFormat/>
    <w:uiPriority w:val="99"/>
    <w:rPr>
      <w:rFonts w:cs="Times New Roman"/>
    </w:rPr>
  </w:style>
  <w:style w:type="character" w:styleId="34">
    <w:name w:val="Hyperlink"/>
    <w:qFormat/>
    <w:uiPriority w:val="99"/>
    <w:rPr>
      <w:rFonts w:cs="Times New Roman"/>
      <w:color w:val="0000FF"/>
      <w:u w:val="none"/>
    </w:rPr>
  </w:style>
  <w:style w:type="character" w:styleId="35">
    <w:name w:val="HTML Code"/>
    <w:semiHidden/>
    <w:qFormat/>
    <w:uiPriority w:val="99"/>
    <w:rPr>
      <w:rFonts w:ascii="monospace" w:hAnsi="monospace" w:cs="Times New Roman"/>
      <w:sz w:val="20"/>
    </w:rPr>
  </w:style>
  <w:style w:type="character" w:styleId="36">
    <w:name w:val="annotation reference"/>
    <w:semiHidden/>
    <w:qFormat/>
    <w:uiPriority w:val="99"/>
    <w:rPr>
      <w:rFonts w:cs="Times New Roman"/>
      <w:sz w:val="21"/>
    </w:rPr>
  </w:style>
  <w:style w:type="character" w:styleId="37">
    <w:name w:val="HTML Cite"/>
    <w:semiHidden/>
    <w:qFormat/>
    <w:uiPriority w:val="99"/>
    <w:rPr>
      <w:rFonts w:cs="Times New Roman"/>
    </w:rPr>
  </w:style>
  <w:style w:type="character" w:styleId="38">
    <w:name w:val="HTML Keyboard"/>
    <w:semiHidden/>
    <w:qFormat/>
    <w:uiPriority w:val="99"/>
    <w:rPr>
      <w:rFonts w:ascii="monospace" w:hAnsi="monospace" w:cs="Times New Roman"/>
      <w:sz w:val="20"/>
    </w:rPr>
  </w:style>
  <w:style w:type="character" w:styleId="39">
    <w:name w:val="HTML Sample"/>
    <w:semiHidden/>
    <w:qFormat/>
    <w:uiPriority w:val="99"/>
    <w:rPr>
      <w:rFonts w:ascii="monospace" w:hAnsi="monospace" w:cs="Times New Roman"/>
    </w:rPr>
  </w:style>
  <w:style w:type="character" w:customStyle="1" w:styleId="40">
    <w:name w:val="标题 1 字符"/>
    <w:link w:val="3"/>
    <w:qFormat/>
    <w:locked/>
    <w:uiPriority w:val="99"/>
    <w:rPr>
      <w:rFonts w:ascii="Times New Roman" w:hAnsi="Times New Roman" w:eastAsia="宋体" w:cs="Times New Roman"/>
      <w:b/>
      <w:kern w:val="44"/>
      <w:sz w:val="44"/>
    </w:rPr>
  </w:style>
  <w:style w:type="character" w:customStyle="1" w:styleId="41">
    <w:name w:val="标题 2 字符"/>
    <w:link w:val="2"/>
    <w:qFormat/>
    <w:locked/>
    <w:uiPriority w:val="99"/>
    <w:rPr>
      <w:rFonts w:ascii="Arial" w:hAnsi="Arial" w:eastAsia="黑体" w:cs="Times New Roman"/>
      <w:b/>
      <w:sz w:val="32"/>
    </w:rPr>
  </w:style>
  <w:style w:type="character" w:customStyle="1" w:styleId="42">
    <w:name w:val="标题 3 字符"/>
    <w:link w:val="4"/>
    <w:qFormat/>
    <w:locked/>
    <w:uiPriority w:val="99"/>
    <w:rPr>
      <w:rFonts w:ascii="Times New Roman" w:hAnsi="Times New Roman" w:eastAsia="宋体" w:cs="Times New Roman"/>
      <w:b/>
      <w:sz w:val="32"/>
    </w:rPr>
  </w:style>
  <w:style w:type="character" w:customStyle="1" w:styleId="43">
    <w:name w:val="批注文字 字符"/>
    <w:link w:val="8"/>
    <w:semiHidden/>
    <w:qFormat/>
    <w:locked/>
    <w:uiPriority w:val="99"/>
    <w:rPr>
      <w:rFonts w:ascii="Times New Roman" w:hAnsi="Times New Roman" w:eastAsia="宋体" w:cs="Times New Roman"/>
      <w:sz w:val="21"/>
    </w:rPr>
  </w:style>
  <w:style w:type="character" w:customStyle="1" w:styleId="44">
    <w:name w:val="批注主题 字符"/>
    <w:link w:val="22"/>
    <w:semiHidden/>
    <w:qFormat/>
    <w:locked/>
    <w:uiPriority w:val="99"/>
    <w:rPr>
      <w:rFonts w:ascii="Times New Roman" w:hAnsi="Times New Roman" w:eastAsia="宋体" w:cs="Times New Roman"/>
      <w:b/>
      <w:sz w:val="21"/>
    </w:rPr>
  </w:style>
  <w:style w:type="character" w:customStyle="1" w:styleId="45">
    <w:name w:val="文档结构图 字符"/>
    <w:link w:val="7"/>
    <w:semiHidden/>
    <w:qFormat/>
    <w:locked/>
    <w:uiPriority w:val="99"/>
    <w:rPr>
      <w:rFonts w:ascii="宋体" w:hAnsi="Times New Roman" w:eastAsia="宋体" w:cs="Times New Roman"/>
      <w:sz w:val="18"/>
    </w:rPr>
  </w:style>
  <w:style w:type="character" w:customStyle="1" w:styleId="46">
    <w:name w:val="正文文本 3 字符"/>
    <w:link w:val="9"/>
    <w:qFormat/>
    <w:locked/>
    <w:uiPriority w:val="99"/>
    <w:rPr>
      <w:rFonts w:ascii="仿宋_GB2312" w:hAnsi="Arial" w:eastAsia="仿宋_GB2312" w:cs="Times New Roman"/>
      <w:sz w:val="28"/>
    </w:rPr>
  </w:style>
  <w:style w:type="character" w:customStyle="1" w:styleId="47">
    <w:name w:val="正文文本缩进 字符"/>
    <w:link w:val="11"/>
    <w:qFormat/>
    <w:locked/>
    <w:uiPriority w:val="99"/>
    <w:rPr>
      <w:rFonts w:ascii="宋体" w:hAnsi="宋体" w:eastAsia="宋体" w:cs="Times New Roman"/>
      <w:color w:val="000000"/>
      <w:sz w:val="24"/>
    </w:rPr>
  </w:style>
  <w:style w:type="character" w:customStyle="1" w:styleId="48">
    <w:name w:val="Plain Text Char"/>
    <w:qFormat/>
    <w:locked/>
    <w:uiPriority w:val="99"/>
    <w:rPr>
      <w:rFonts w:ascii="宋体" w:hAnsi="Courier New" w:eastAsia="宋体" w:cs="Times New Roman"/>
      <w:kern w:val="2"/>
      <w:sz w:val="21"/>
    </w:rPr>
  </w:style>
  <w:style w:type="character" w:customStyle="1" w:styleId="49">
    <w:name w:val="日期 字符"/>
    <w:link w:val="15"/>
    <w:qFormat/>
    <w:locked/>
    <w:uiPriority w:val="99"/>
    <w:rPr>
      <w:rFonts w:ascii="Times New Roman" w:hAnsi="Times New Roman" w:eastAsia="宋体" w:cs="Times New Roman"/>
      <w:b/>
      <w:sz w:val="28"/>
    </w:rPr>
  </w:style>
  <w:style w:type="character" w:customStyle="1" w:styleId="50">
    <w:name w:val="批注框文本 字符"/>
    <w:link w:val="16"/>
    <w:semiHidden/>
    <w:qFormat/>
    <w:locked/>
    <w:uiPriority w:val="99"/>
    <w:rPr>
      <w:rFonts w:ascii="Times New Roman" w:hAnsi="Times New Roman" w:eastAsia="宋体" w:cs="Times New Roman"/>
      <w:sz w:val="18"/>
    </w:rPr>
  </w:style>
  <w:style w:type="character" w:customStyle="1" w:styleId="51">
    <w:name w:val="Footer Char"/>
    <w:qFormat/>
    <w:locked/>
    <w:uiPriority w:val="99"/>
    <w:rPr>
      <w:rFonts w:eastAsia="宋体" w:cs="Times New Roman"/>
      <w:sz w:val="18"/>
    </w:rPr>
  </w:style>
  <w:style w:type="character" w:customStyle="1" w:styleId="52">
    <w:name w:val="Header Char"/>
    <w:qFormat/>
    <w:locked/>
    <w:uiPriority w:val="99"/>
    <w:rPr>
      <w:rFonts w:eastAsia="宋体" w:cs="Times New Roman"/>
      <w:sz w:val="18"/>
    </w:rPr>
  </w:style>
  <w:style w:type="character" w:customStyle="1" w:styleId="53">
    <w:name w:val="页眉 字符"/>
    <w:link w:val="18"/>
    <w:semiHidden/>
    <w:qFormat/>
    <w:locked/>
    <w:uiPriority w:val="99"/>
    <w:rPr>
      <w:sz w:val="18"/>
    </w:rPr>
  </w:style>
  <w:style w:type="character" w:customStyle="1" w:styleId="54">
    <w:name w:val="页脚 字符"/>
    <w:link w:val="17"/>
    <w:semiHidden/>
    <w:qFormat/>
    <w:locked/>
    <w:uiPriority w:val="99"/>
    <w:rPr>
      <w:sz w:val="18"/>
    </w:rPr>
  </w:style>
  <w:style w:type="character" w:customStyle="1" w:styleId="55">
    <w:name w:val="纯文本 字符"/>
    <w:link w:val="14"/>
    <w:qFormat/>
    <w:locked/>
    <w:uiPriority w:val="99"/>
    <w:rPr>
      <w:rFonts w:ascii="宋体" w:hAnsi="Courier New" w:eastAsia="宋体"/>
      <w:sz w:val="21"/>
    </w:rPr>
  </w:style>
  <w:style w:type="paragraph" w:customStyle="1" w:styleId="56">
    <w:name w:val="样式1"/>
    <w:basedOn w:val="1"/>
    <w:qFormat/>
    <w:uiPriority w:val="99"/>
    <w:pPr>
      <w:adjustRightInd w:val="0"/>
      <w:textAlignment w:val="baseline"/>
    </w:pPr>
    <w:rPr>
      <w:rFonts w:ascii="宋体" w:hAnsi="宋体" w:cs="宋体"/>
      <w:kern w:val="0"/>
    </w:rPr>
  </w:style>
  <w:style w:type="character" w:customStyle="1" w:styleId="57">
    <w:name w:val="apple-converted-space"/>
    <w:qFormat/>
    <w:uiPriority w:val="99"/>
    <w:rPr>
      <w:rFonts w:cs="Times New Roman"/>
    </w:rPr>
  </w:style>
  <w:style w:type="paragraph" w:customStyle="1" w:styleId="58">
    <w:name w:val="Char1 Char Char Char Char Char Char"/>
    <w:basedOn w:val="1"/>
    <w:qFormat/>
    <w:uiPriority w:val="99"/>
    <w:rPr>
      <w:rFonts w:ascii="Tahoma" w:hAnsi="Tahoma" w:cs="Tahoma"/>
      <w:sz w:val="24"/>
      <w:szCs w:val="24"/>
    </w:rPr>
  </w:style>
  <w:style w:type="paragraph" w:customStyle="1" w:styleId="59">
    <w:name w:val="默认段落字体 Para Char Char Char1 Char Char Char Char Char Char Char"/>
    <w:basedOn w:val="1"/>
    <w:qFormat/>
    <w:uiPriority w:val="99"/>
    <w:pPr>
      <w:adjustRightInd w:val="0"/>
      <w:spacing w:line="360" w:lineRule="auto"/>
    </w:pPr>
  </w:style>
  <w:style w:type="character" w:customStyle="1" w:styleId="60">
    <w:name w:val="15"/>
    <w:qFormat/>
    <w:uiPriority w:val="99"/>
    <w:rPr>
      <w:rFonts w:ascii="Times New Roman" w:hAnsi="Times New Roman"/>
      <w:color w:val="0000FF"/>
      <w:u w:val="single"/>
    </w:rPr>
  </w:style>
  <w:style w:type="paragraph" w:customStyle="1" w:styleId="61">
    <w:name w:val="Char"/>
    <w:basedOn w:val="1"/>
    <w:qFormat/>
    <w:uiPriority w:val="99"/>
    <w:rPr>
      <w:rFonts w:ascii="Tahoma" w:hAnsi="Tahoma" w:cs="Tahoma"/>
      <w:sz w:val="24"/>
      <w:szCs w:val="24"/>
    </w:rPr>
  </w:style>
  <w:style w:type="paragraph" w:customStyle="1" w:styleId="62">
    <w:name w:val="D&amp;L"/>
    <w:basedOn w:val="18"/>
    <w:qFormat/>
    <w:uiPriority w:val="99"/>
    <w:pPr>
      <w:pBdr>
        <w:bottom w:val="thinThickSmallGap" w:color="auto" w:sz="12" w:space="1"/>
      </w:pBdr>
      <w:tabs>
        <w:tab w:val="clear" w:pos="4153"/>
        <w:tab w:val="clear" w:pos="8306"/>
      </w:tabs>
      <w:adjustRightInd w:val="0"/>
      <w:snapToGrid/>
      <w:spacing w:line="240" w:lineRule="atLeast"/>
      <w:textAlignment w:val="baseline"/>
    </w:pPr>
    <w:rPr>
      <w:sz w:val="24"/>
      <w:szCs w:val="24"/>
    </w:rPr>
  </w:style>
  <w:style w:type="paragraph" w:customStyle="1" w:styleId="63">
    <w:name w:val="Char Char Char Char Char Char Char1 Char"/>
    <w:basedOn w:val="1"/>
    <w:qFormat/>
    <w:uiPriority w:val="99"/>
    <w:rPr>
      <w:rFonts w:ascii="Tahoma" w:hAnsi="Tahoma" w:cs="Tahoma"/>
      <w:sz w:val="24"/>
      <w:szCs w:val="24"/>
    </w:rPr>
  </w:style>
  <w:style w:type="paragraph" w:customStyle="1" w:styleId="64">
    <w:name w:val="xl31"/>
    <w:basedOn w:val="1"/>
    <w:qFormat/>
    <w:uiPriority w:val="99"/>
    <w:pPr>
      <w:widowControl/>
      <w:spacing w:before="100" w:beforeAutospacing="1" w:after="100" w:afterAutospacing="1"/>
      <w:jc w:val="center"/>
    </w:pPr>
    <w:rPr>
      <w:rFonts w:ascii="宋体" w:hAnsi="宋体" w:cs="宋体"/>
      <w:b/>
      <w:bCs/>
      <w:kern w:val="0"/>
      <w:sz w:val="28"/>
      <w:szCs w:val="28"/>
    </w:rPr>
  </w:style>
  <w:style w:type="character" w:customStyle="1" w:styleId="65">
    <w:name w:val="10"/>
    <w:qFormat/>
    <w:uiPriority w:val="99"/>
    <w:rPr>
      <w:rFonts w:ascii="Times New Roman" w:hAnsi="Times New Roman"/>
    </w:rPr>
  </w:style>
  <w:style w:type="character" w:customStyle="1" w:styleId="66">
    <w:name w:val="16"/>
    <w:qFormat/>
    <w:uiPriority w:val="99"/>
    <w:rPr>
      <w:rFonts w:ascii="Times New Roman" w:hAnsi="Times New Roman"/>
    </w:rPr>
  </w:style>
  <w:style w:type="paragraph" w:customStyle="1" w:styleId="67">
    <w:name w:val="列出段落1"/>
    <w:basedOn w:val="1"/>
    <w:qFormat/>
    <w:uiPriority w:val="99"/>
    <w:pPr>
      <w:ind w:firstLine="420" w:firstLineChars="200"/>
    </w:pPr>
  </w:style>
  <w:style w:type="character" w:customStyle="1" w:styleId="68">
    <w:name w:val="tpc_content1"/>
    <w:qFormat/>
    <w:uiPriority w:val="99"/>
    <w:rPr>
      <w:sz w:val="13"/>
    </w:rPr>
  </w:style>
  <w:style w:type="paragraph" w:styleId="69">
    <w:name w:val="List Paragraph"/>
    <w:basedOn w:val="1"/>
    <w:qFormat/>
    <w:uiPriority w:val="99"/>
    <w:pPr>
      <w:ind w:firstLine="420" w:firstLineChars="200"/>
    </w:pPr>
  </w:style>
  <w:style w:type="character" w:customStyle="1" w:styleId="70">
    <w:name w:val="未处理的提及1"/>
    <w:semiHidden/>
    <w:unhideWhenUsed/>
    <w:qFormat/>
    <w:uiPriority w:val="99"/>
    <w:rPr>
      <w:color w:val="605E5C"/>
      <w:shd w:val="clear" w:color="auto" w:fill="E1DFDD"/>
    </w:rPr>
  </w:style>
  <w:style w:type="paragraph" w:customStyle="1" w:styleId="71">
    <w:name w:val="Char Char Char"/>
    <w:basedOn w:val="1"/>
    <w:qFormat/>
    <w:uiPriority w:val="0"/>
    <w:rPr>
      <w:rFonts w:ascii="Tahoma" w:hAnsi="Tahoma"/>
      <w:sz w:val="24"/>
      <w:szCs w:val="20"/>
    </w:rPr>
  </w:style>
  <w:style w:type="paragraph" w:customStyle="1" w:styleId="72">
    <w:name w:val="Char Char Char1"/>
    <w:basedOn w:val="1"/>
    <w:qFormat/>
    <w:uiPriority w:val="0"/>
    <w:rPr>
      <w:rFonts w:ascii="Tahoma" w:hAnsi="Tahoma"/>
      <w:sz w:val="24"/>
      <w:szCs w:val="20"/>
    </w:rPr>
  </w:style>
  <w:style w:type="paragraph" w:customStyle="1" w:styleId="73">
    <w:name w:val="Char Char Char2"/>
    <w:basedOn w:val="1"/>
    <w:qFormat/>
    <w:uiPriority w:val="0"/>
    <w:rPr>
      <w:rFonts w:ascii="Tahoma" w:hAnsi="Tahoma"/>
      <w:sz w:val="24"/>
      <w:szCs w:val="20"/>
    </w:rPr>
  </w:style>
  <w:style w:type="paragraph" w:customStyle="1" w:styleId="74">
    <w:name w:val="Table Paragraph"/>
    <w:basedOn w:val="1"/>
    <w:qFormat/>
    <w:uiPriority w:val="1"/>
    <w:pPr>
      <w:autoSpaceDE w:val="0"/>
      <w:autoSpaceDN w:val="0"/>
      <w:jc w:val="left"/>
    </w:pPr>
    <w:rPr>
      <w:rFonts w:ascii="Noto Sans CJK JP Regular" w:hAnsi="Noto Sans CJK JP Regular" w:eastAsia="Noto Sans CJK JP Regular" w:cs="Noto Sans CJK JP Regular"/>
      <w:kern w:val="0"/>
      <w:sz w:val="22"/>
      <w:szCs w:val="22"/>
      <w:lang w:eastAsia="en-US" w:bidi="en-US"/>
    </w:rPr>
  </w:style>
  <w:style w:type="character" w:customStyle="1" w:styleId="75">
    <w:name w:val="33 字符"/>
    <w:link w:val="76"/>
    <w:qFormat/>
    <w:locked/>
    <w:uiPriority w:val="99"/>
    <w:rPr>
      <w:rFonts w:ascii="宋体" w:hAnsi="宋体"/>
      <w:color w:val="000000"/>
      <w:szCs w:val="21"/>
    </w:rPr>
  </w:style>
  <w:style w:type="paragraph" w:customStyle="1" w:styleId="76">
    <w:name w:val="33"/>
    <w:basedOn w:val="1"/>
    <w:link w:val="75"/>
    <w:qFormat/>
    <w:uiPriority w:val="99"/>
    <w:pPr>
      <w:spacing w:line="400" w:lineRule="atLeast"/>
      <w:ind w:firstLine="420" w:firstLineChars="200"/>
    </w:pPr>
    <w:rPr>
      <w:rFonts w:ascii="宋体" w:hAnsi="宋体"/>
      <w:color w:val="000000"/>
      <w:kern w:val="0"/>
      <w:sz w:val="20"/>
    </w:rPr>
  </w:style>
  <w:style w:type="paragraph" w:customStyle="1" w:styleId="77">
    <w:name w:val="Default"/>
    <w:qFormat/>
    <w:uiPriority w:val="0"/>
    <w:pPr>
      <w:widowControl w:val="0"/>
      <w:autoSpaceDE w:val="0"/>
      <w:autoSpaceDN w:val="0"/>
      <w:adjustRightInd w:val="0"/>
    </w:pPr>
    <w:rPr>
      <w:rFonts w:ascii="仿宋_GB2312" w:hAnsi="等线" w:eastAsia="仿宋_GB2312" w:cs="仿宋_GB2312"/>
      <w:color w:val="000000"/>
      <w:sz w:val="24"/>
      <w:szCs w:val="24"/>
      <w:lang w:val="en-US" w:eastAsia="zh-CN" w:bidi="ar-SA"/>
    </w:rPr>
  </w:style>
  <w:style w:type="paragraph" w:customStyle="1" w:styleId="78">
    <w:name w:val="正文_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28</Pages>
  <Words>18797</Words>
  <Characters>19930</Characters>
  <Lines>216</Lines>
  <Paragraphs>61</Paragraphs>
  <TotalTime>17</TotalTime>
  <ScaleCrop>false</ScaleCrop>
  <LinksUpToDate>false</LinksUpToDate>
  <CharactersWithSpaces>20569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2017-06-11T01:45:00Z</dcterms:created>
  <dc:creator>NTKO</dc:creator>
  <cp:lastModifiedBy>"梦""诺"</cp:lastModifiedBy>
  <cp:lastPrinted>2021-09-17T02:51:00Z</cp:lastPrinted>
  <dcterms:modified xsi:type="dcterms:W3CDTF">2022-07-11T03:42:55Z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C9BB410E28E14F3A957F8D0EFE65FE4A</vt:lpwstr>
  </property>
</Properties>
</file>